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rFonts w:ascii="Times New Roman" w:cs="Times New Roman" w:eastAsia="Times New Roman" w:hAnsi="Times New Roman"/>
          <w:b/>
          <w:bCs/>
          <w:sz w:val="24"/>
          <w:szCs w:val="24"/>
        </w:rPr>
        <w:t xml:space="preserve">[....] NÖBETÇİ ASLİYE HUKUK MAHKEMESİNE</w:t>
      </w:r>
    </w:p>
    <w:p>
      <w:pPr>
        <w:tabs>
          <w:tab w:val="left" w:pos="2700"/>
        </w:tabs>
        <w:spacing w:after="100"/>
        <w:ind w:left="2700" w:hanging="2700"/>
      </w:pPr>
      <w:r>
        <w:rPr>
          <w:rFonts w:ascii="Times New Roman" w:cs="Times New Roman" w:eastAsia="Times New Roman" w:hAnsi="Times New Roman"/>
          <w:b/>
          <w:bCs/>
          <w:sz w:val="24"/>
          <w:szCs w:val="24"/>
        </w:rPr>
        <w:t xml:space="preserve">DAVACI</w:t>
      </w:r>
      <w:r>
        <w:rPr>
          <w:rFonts w:ascii="Times New Roman" w:cs="Times New Roman" w:eastAsia="Times New Roman" w:hAnsi="Times New Roman"/>
          <w:sz w:val="24"/>
          <w:szCs w:val="24"/>
        </w:rPr>
        <w:t xml:space="preserve">	: [Ad SOYAD], T.C. kimlik no: [....], adres: [....]</w:t>
      </w:r>
    </w:p>
    <w:p>
      <w:pPr>
        <w:tabs>
          <w:tab w:val="left" w:pos="2700"/>
        </w:tabs>
        <w:spacing w:after="100"/>
        <w:ind w:left="2700" w:hanging="2700"/>
      </w:pPr>
      <w:r>
        <w:rPr>
          <w:rFonts w:ascii="Times New Roman" w:cs="Times New Roman" w:eastAsia="Times New Roman" w:hAnsi="Times New Roman"/>
          <w:b/>
          <w:bCs/>
          <w:sz w:val="24"/>
          <w:szCs w:val="24"/>
        </w:rPr>
        <w:t xml:space="preserve">VEKİLİ</w:t>
      </w:r>
      <w:r>
        <w:rPr>
          <w:rFonts w:ascii="Times New Roman" w:cs="Times New Roman" w:eastAsia="Times New Roman" w:hAnsi="Times New Roman"/>
          <w:sz w:val="24"/>
          <w:szCs w:val="24"/>
        </w:rPr>
        <w:t xml:space="preserve">	: Av. [Ad SOYAD], [Baro ve sicil no], [adres], [UETS adresi]</w:t>
      </w:r>
    </w:p>
    <w:p>
      <w:pPr>
        <w:tabs>
          <w:tab w:val="left" w:pos="2700"/>
        </w:tabs>
        <w:spacing w:after="100"/>
        <w:ind w:left="2700" w:hanging="2700"/>
      </w:pPr>
      <w:r>
        <w:rPr>
          <w:rFonts w:ascii="Times New Roman" w:cs="Times New Roman" w:eastAsia="Times New Roman" w:hAnsi="Times New Roman"/>
          <w:b/>
          <w:bCs/>
          <w:sz w:val="24"/>
          <w:szCs w:val="24"/>
        </w:rPr>
        <w:t xml:space="preserve">DAVALILAR</w:t>
      </w:r>
      <w:r>
        <w:rPr>
          <w:rFonts w:ascii="Times New Roman" w:cs="Times New Roman" w:eastAsia="Times New Roman" w:hAnsi="Times New Roman"/>
          <w:sz w:val="24"/>
          <w:szCs w:val="24"/>
        </w:rPr>
        <w:t xml:space="preserve">	: 1- [İkinci alıcının Ad SOYAD], [T.C. kimlik no], [adres]</w:t>
      </w:r>
      <w:r>
        <w:rPr>
          <w:rFonts w:ascii="Times New Roman" w:cs="Times New Roman" w:eastAsia="Times New Roman" w:hAnsi="Times New Roman"/>
          <w:sz w:val="24"/>
          <w:szCs w:val="24"/>
        </w:rPr>
        <w:br/>
        <w:t xml:space="preserve">  2- [Yüklenici şirketin unvanı / Ad SOYAD], [MERSİS no / T.C. kimlik no], [adres]</w:t>
      </w:r>
    </w:p>
    <w:p>
      <w:pPr>
        <w:tabs>
          <w:tab w:val="left" w:pos="2700"/>
        </w:tabs>
        <w:spacing w:after="100"/>
        <w:ind w:left="2700" w:hanging="2700"/>
      </w:pPr>
      <w:r>
        <w:rPr>
          <w:rFonts w:ascii="Times New Roman" w:cs="Times New Roman" w:eastAsia="Times New Roman" w:hAnsi="Times New Roman"/>
          <w:b/>
          <w:bCs/>
          <w:sz w:val="24"/>
          <w:szCs w:val="24"/>
        </w:rPr>
        <w:t xml:space="preserve">DAVA DEĞERİ</w:t>
      </w:r>
      <w:r>
        <w:rPr>
          <w:rFonts w:ascii="Times New Roman" w:cs="Times New Roman" w:eastAsia="Times New Roman" w:hAnsi="Times New Roman"/>
          <w:sz w:val="24"/>
          <w:szCs w:val="24"/>
        </w:rPr>
        <w:t xml:space="preserve">	: [....] TL (dava konusu bağımsız bölümün değeri)</w:t>
      </w:r>
    </w:p>
    <w:p>
      <w:pPr>
        <w:tabs>
          <w:tab w:val="left" w:pos="2700"/>
        </w:tabs>
        <w:spacing w:after="100"/>
        <w:ind w:left="2700" w:hanging="2700"/>
      </w:pPr>
      <w:r>
        <w:rPr>
          <w:rFonts w:ascii="Times New Roman" w:cs="Times New Roman" w:eastAsia="Times New Roman" w:hAnsi="Times New Roman"/>
          <w:b/>
          <w:bCs/>
          <w:sz w:val="24"/>
          <w:szCs w:val="24"/>
        </w:rPr>
        <w:t xml:space="preserve">KONU</w:t>
      </w:r>
      <w:r>
        <w:rPr>
          <w:rFonts w:ascii="Times New Roman" w:cs="Times New Roman" w:eastAsia="Times New Roman" w:hAnsi="Times New Roman"/>
          <w:sz w:val="24"/>
          <w:szCs w:val="24"/>
        </w:rPr>
        <w:t xml:space="preserve">	: Davalı yüklenicinin tarafıma satış vaadinde bulunduğu bağımsız bölümün kötüniyetli davalı adına yapılan tescilinin iptali ile adıma tescili; bu talep kabul edilmezse davalı yükleniciden bağımsız bölüm değerinin tahsili ve ihtiyati tedbir istemidir.</w:t>
      </w:r>
    </w:p>
    <w:p>
      <w:pPr>
        <w:keepNext/>
        <w:spacing w:after="120" w:before="240"/>
      </w:pPr>
      <w:r>
        <w:rPr>
          <w:rFonts w:ascii="Times New Roman" w:cs="Times New Roman" w:eastAsia="Times New Roman" w:hAnsi="Times New Roman"/>
          <w:b/>
          <w:bCs/>
          <w:sz w:val="24"/>
          <w:szCs w:val="24"/>
        </w:rPr>
        <w:t xml:space="preserve">AÇIKLAMALAR</w:t>
      </w:r>
    </w:p>
    <w:p>
      <w:pPr>
        <w:spacing w:after="120" w:line="300"/>
        <w:jc w:val="both"/>
      </w:pPr>
      <w:r>
        <w:rPr>
          <w:rFonts w:ascii="Times New Roman" w:cs="Times New Roman" w:eastAsia="Times New Roman" w:hAnsi="Times New Roman"/>
          <w:sz w:val="24"/>
          <w:szCs w:val="24"/>
        </w:rPr>
        <w:t xml:space="preserve">1. Davalı yüklenici ile arsa sahipleri arasında [....] Noterliğinin [tarih] tarihli ve [yevmiye no] yevmiye numaralı Arsa Payı Karşılığı İnşaat Sözleşmesi yapılmıştır. Sözleşmeye konu [il, ilçe, mahalle, ada, parsel] sayılı taşınmazda yapılan binanın [....] numaralı bağımsız bölümü sözleşme gereği davalı yükleniciye isabet etmektedir.</w:t>
      </w:r>
    </w:p>
    <w:p>
      <w:pPr>
        <w:spacing w:after="120" w:line="300"/>
        <w:jc w:val="both"/>
      </w:pPr>
      <w:r>
        <w:rPr>
          <w:rFonts w:ascii="Times New Roman" w:cs="Times New Roman" w:eastAsia="Times New Roman" w:hAnsi="Times New Roman"/>
          <w:sz w:val="24"/>
          <w:szCs w:val="24"/>
        </w:rPr>
        <w:t xml:space="preserve">2. Davalı yüklenici bu bağımsız bölümü [....] Noterliğinin [tarih] tarihli ve [yevmiye no] yevmiye numaralı Taşınmaz Satış Vaadi Sözleşmesiyle [....] TL bedelle tarafıma satmış, bedelin [tamamını / ....] TL’sini ödedim. Sözleşme [tarih] tarihinde tapu kütüğüne şerh edilmiştir. [Bağımsız bölüm [tarih] tarihinde tarafıma teslim edilmiş olup o tarihten bu yana zilyedi bulunuyorum.]</w:t>
      </w:r>
    </w:p>
    <w:p>
      <w:pPr>
        <w:spacing w:after="120" w:line="300"/>
        <w:jc w:val="both"/>
      </w:pPr>
      <w:r>
        <w:rPr>
          <w:rFonts w:ascii="Times New Roman" w:cs="Times New Roman" w:eastAsia="Times New Roman" w:hAnsi="Times New Roman"/>
          <w:sz w:val="24"/>
          <w:szCs w:val="24"/>
        </w:rPr>
        <w:t xml:space="preserve">3. Davalı yüklenici, aynı bağımsız bölümü [tarih] tarihinde davalı [ikinci alıcı] adına tapuda devretmiştir. [İkinci alıcı davalı yüklenicinin [akrabası / ortağı / çalışanı] olup bağımsız bölümün daha önce bana satıldığını bilmektedir.]</w:t>
      </w:r>
    </w:p>
    <w:p>
      <w:pPr>
        <w:keepNext/>
        <w:spacing w:after="120" w:before="240"/>
      </w:pPr>
      <w:r>
        <w:rPr>
          <w:rFonts w:ascii="Times New Roman" w:cs="Times New Roman" w:eastAsia="Times New Roman" w:hAnsi="Times New Roman"/>
          <w:b/>
          <w:bCs/>
          <w:sz w:val="24"/>
          <w:szCs w:val="24"/>
        </w:rPr>
        <w:t xml:space="preserve">1. TMK m.1009 ve Tapu Kanunu m.26: Satış vaadi şerhim sonradan hak kazanan davalıya karşı ileri sürülebilir</w:t>
      </w:r>
    </w:p>
    <w:p>
      <w:pPr>
        <w:spacing w:after="120" w:line="300"/>
        <w:jc w:val="both"/>
      </w:pPr>
      <w:r>
        <w:rPr>
          <w:rFonts w:ascii="Times New Roman" w:cs="Times New Roman" w:eastAsia="Times New Roman" w:hAnsi="Times New Roman"/>
          <w:sz w:val="24"/>
          <w:szCs w:val="24"/>
        </w:rPr>
        <w:t xml:space="preserve">Arsa payı karşılığı inşaat ve taşınmaz satış vaadi sözleşmelerinden doğan haklar tapu kütüğüne şerh edilebilir ve şerh verilmekle o taşınmaz üzerinde sonradan kazanılan hakların sahiplerine karşı ileri sürülebilir (TMK m.1009). Noterlerce düzenlenen satış vaadi sözleşmeleri taraflardan birinin istemi üzerine tapu siciline şerh verilir (Tapu K. m.26; Noterlik K. m.60/3). Şerhim davalı adına yapılan tescilden önce kütüğe işlenmiş olup henüz beş yıllık süre dolmamıştır. Davalı, şerhten sonra hak kazandığından şerhle korunan hakkım ona karşı da ileri sürülebilir.</w:t>
      </w:r>
    </w:p>
    <w:p>
      <w:pPr>
        <w:keepNext/>
        <w:spacing w:after="120" w:before="240"/>
      </w:pPr>
      <w:r>
        <w:rPr>
          <w:rFonts w:ascii="Times New Roman" w:cs="Times New Roman" w:eastAsia="Times New Roman" w:hAnsi="Times New Roman"/>
          <w:b/>
          <w:bCs/>
          <w:sz w:val="24"/>
          <w:szCs w:val="24"/>
        </w:rPr>
        <w:t xml:space="preserve">2. TMK m.1024 ve m.3: Davalı ikinci alıcı iyiniyetli değildir</w:t>
      </w:r>
    </w:p>
    <w:p>
      <w:pPr>
        <w:spacing w:after="120" w:line="300"/>
        <w:jc w:val="both"/>
      </w:pPr>
      <w:r>
        <w:rPr>
          <w:rFonts w:ascii="Times New Roman" w:cs="Times New Roman" w:eastAsia="Times New Roman" w:hAnsi="Times New Roman"/>
          <w:sz w:val="24"/>
          <w:szCs w:val="24"/>
        </w:rPr>
        <w:t xml:space="preserve">Bir aynî hak yolsuz olarak tescil edilmişse bunu bilen veya bilmesi gereken üçüncü kişi bu tescile dayanamaz (TMK m.1024). Kanunun iyiniyete sonuç bağladığı durumlarda asıl olan iyiniyetin varlığıdır; ancak durumun gereklerine göre kendisinden beklenen özeni göstermeyen kimse iyiniyet iddiasında bulunamaz (TMK m.3). Davalı ikinci alıcı tapuya güvenerek hak kazandığını ileri sürecektir. Ne var ki tapu kütüğünde şerhim açıkça görülmekteydi; [bağımsız bölümde benim oturduğum, sitenin yönetimine ve komşulara bilinmekteydi;] [davalı, yüklenicinin yakını olup satıştan haberdardı;] [devir, piyasa değerinin çok altında bir bedelle yapılmıştır]. Bu durumda davalının iyiniyetli olduğundan söz edilemez.</w:t>
      </w:r>
    </w:p>
    <w:p>
      <w:pPr>
        <w:keepNext/>
        <w:spacing w:after="120" w:before="240"/>
      </w:pPr>
      <w:r>
        <w:rPr>
          <w:rFonts w:ascii="Times New Roman" w:cs="Times New Roman" w:eastAsia="Times New Roman" w:hAnsi="Times New Roman"/>
          <w:b/>
          <w:bCs/>
          <w:sz w:val="24"/>
          <w:szCs w:val="24"/>
        </w:rPr>
        <w:t xml:space="preserve">3. TMK m.716 ve m.1025: Davalı adına yapılan tescil yolsuzdur; mülkiyet adıma hükmen geçirilmelidir</w:t>
      </w:r>
    </w:p>
    <w:p>
      <w:pPr>
        <w:spacing w:after="120" w:line="300"/>
        <w:jc w:val="both"/>
      </w:pPr>
      <w:r>
        <w:rPr>
          <w:rFonts w:ascii="Times New Roman" w:cs="Times New Roman" w:eastAsia="Times New Roman" w:hAnsi="Times New Roman"/>
          <w:sz w:val="24"/>
          <w:szCs w:val="24"/>
        </w:rPr>
        <w:t xml:space="preserve">Yolsuz tescil yüzünden aynî hakkı zedelenen kimse tapu sicilinin düzeltilmesini dava edebilir (TMK m.1025). Mülkiyetin kazanılmasına esas olacak bir hukuki sebebe dayanarak malikten tescil istemek hususunda kişisel hakka sahip olan kimse, malikin kaçınması hâlinde mülkiyetin hükmen geçirilmesini isteyebilir (TMK m.716). Resmî şekilde düzenlenmiş satış vaadi sözleşmem (TBK m.237) bu hukuki sebeptir. [Bedelin kalan kısmı olan [....] TL’yi ödemeye hazır olduğumu, gerekirse Mahkemenin göstereceği yere depo edeceğimi beyan ederim.]</w:t>
      </w:r>
    </w:p>
    <w:p>
      <w:pPr>
        <w:keepNext/>
        <w:spacing w:after="120" w:before="240"/>
      </w:pPr>
      <w:r>
        <w:rPr>
          <w:rFonts w:ascii="Times New Roman" w:cs="Times New Roman" w:eastAsia="Times New Roman" w:hAnsi="Times New Roman"/>
          <w:b/>
          <w:bCs/>
          <w:sz w:val="24"/>
          <w:szCs w:val="24"/>
        </w:rPr>
        <w:t xml:space="preserve">4. TBK m.112, m.125 ve HMK m.111: Bu talep kabul edilmezse davalı yükleniciden bağımsız bölüm değerinin tahsili gerekir</w:t>
      </w:r>
    </w:p>
    <w:p>
      <w:pPr>
        <w:spacing w:after="120" w:line="300"/>
        <w:jc w:val="both"/>
      </w:pPr>
      <w:r>
        <w:rPr>
          <w:rFonts w:ascii="Times New Roman" w:cs="Times New Roman" w:eastAsia="Times New Roman" w:hAnsi="Times New Roman"/>
          <w:sz w:val="24"/>
          <w:szCs w:val="24"/>
        </w:rPr>
        <w:t xml:space="preserve">Borç hiç veya gereği gibi ifa edilmezse borçlu, kusursuzluğunu ispat etmedikçe alacaklının zararını gidermekle yükümlüdür (TBK m.112). Aynı bağımsız bölümü bilerek ikinci kez devreden davalı yüklenicinin kusursuzluğunu ispat etmesi mümkün değildir. Davacı, aynı davalıya karşı birden fazla talebini aralarında aslilik ve ferîlik ilişkisi kurarak aynı dilekçede ileri sürebilir (HMK m.111). Bu nedenle tapu iptali ve tescil talebimin kabul edilmemesi hâlinde, davalı yükleniciden bağımsız bölümün değerinin ve ödediğim bedele ilişkin diğer zararlarımın tahsilini terditli olarak talep ediyorum.</w:t>
      </w:r>
    </w:p>
    <w:p>
      <w:pPr>
        <w:keepNext/>
        <w:spacing w:after="120" w:before="240"/>
      </w:pPr>
      <w:r>
        <w:rPr>
          <w:rFonts w:ascii="Times New Roman" w:cs="Times New Roman" w:eastAsia="Times New Roman" w:hAnsi="Times New Roman"/>
          <w:b/>
          <w:bCs/>
          <w:sz w:val="24"/>
          <w:szCs w:val="24"/>
        </w:rPr>
        <w:t xml:space="preserve">5. HMK m.389 ve m.390: Bağımsız bölüm üzerine ihtiyati tedbir konulmalıdır</w:t>
      </w:r>
    </w:p>
    <w:p>
      <w:pPr>
        <w:spacing w:after="120" w:line="300"/>
        <w:jc w:val="both"/>
      </w:pPr>
      <w:r>
        <w:rPr>
          <w:rFonts w:ascii="Times New Roman" w:cs="Times New Roman" w:eastAsia="Times New Roman" w:hAnsi="Times New Roman"/>
          <w:sz w:val="24"/>
          <w:szCs w:val="24"/>
        </w:rPr>
        <w:t xml:space="preserve">Mevcut durumda meydana gelebilecek bir değişme nedeniyle hakkın elde edilmesinin önemli ölçüde zorlaşacağından veya tamamen imkânsız hâle geleceğinden endişe edilmesi hâlinde uyuşmazlık konusu hakkında ihtiyati tedbir kararı verilebilir (HMK m.389). Davalı ikinci alıcının bağımsız bölümü üçüncü kişilere devretmesi veya üzerinde ipotek kurması hâlinde, iyiniyetli dördüncü kişilerin kazanımı korunacağından (TMK m.1023) hakkımın elde edilmesi imkânsız hâle gelecektir. Bu nedenle dava konusu bağımsız bölümün tapu kaydına devir ve takyidat yasağı şeklinde ihtiyati tedbir konulmasını talep ediyorum.</w:t>
      </w:r>
    </w:p>
    <w:p>
      <w:pPr>
        <w:keepNext/>
        <w:spacing w:after="120" w:before="240"/>
      </w:pPr>
      <w:r>
        <w:rPr>
          <w:rFonts w:ascii="Times New Roman" w:cs="Times New Roman" w:eastAsia="Times New Roman" w:hAnsi="Times New Roman"/>
          <w:b/>
          <w:bCs/>
          <w:sz w:val="24"/>
          <w:szCs w:val="24"/>
        </w:rPr>
        <w:t xml:space="preserve">HUKUKİ SEBEPLER</w:t>
      </w:r>
    </w:p>
    <w:p>
      <w:pPr>
        <w:spacing w:after="120" w:line="300"/>
        <w:jc w:val="both"/>
      </w:pPr>
      <w:r>
        <w:rPr>
          <w:rFonts w:ascii="Times New Roman" w:cs="Times New Roman" w:eastAsia="Times New Roman" w:hAnsi="Times New Roman"/>
          <w:sz w:val="24"/>
          <w:szCs w:val="24"/>
        </w:rPr>
        <w:t xml:space="preserve">TMK m.3, 716, 1009, 1023-1025; TBK m.112, 125, 237; Tapu K. m.26; Noterlik K. m.60; HMK m.111, 389-390 ve ilgili mevzuat.</w:t>
      </w:r>
    </w:p>
    <w:p>
      <w:pPr>
        <w:keepNext/>
        <w:spacing w:after="120" w:before="240"/>
      </w:pPr>
      <w:r>
        <w:rPr>
          <w:rFonts w:ascii="Times New Roman" w:cs="Times New Roman" w:eastAsia="Times New Roman" w:hAnsi="Times New Roman"/>
          <w:b/>
          <w:bCs/>
          <w:sz w:val="24"/>
          <w:szCs w:val="24"/>
        </w:rPr>
        <w:t xml:space="preserve">DELİLLER</w:t>
      </w:r>
    </w:p>
    <w:p>
      <w:pPr>
        <w:spacing w:after="120" w:line="300"/>
        <w:jc w:val="both"/>
      </w:pPr>
      <w:r>
        <w:rPr>
          <w:rFonts w:ascii="Times New Roman" w:cs="Times New Roman" w:eastAsia="Times New Roman" w:hAnsi="Times New Roman"/>
          <w:sz w:val="24"/>
          <w:szCs w:val="24"/>
        </w:rPr>
        <w:t xml:space="preserve">Satış vaadi sözleşmesi, tapu kayıtları ve şerh belgesi, arsa payı karşılığı inşaat sözleşmesi, ödeme belgeleri, teslim tutanağı, abonelik kayıtları, tanık beyanları, keşif, bilirkişi incelemesi ve her türlü yasal delil.</w:t>
      </w:r>
    </w:p>
    <w:p>
      <w:pPr>
        <w:keepNext/>
        <w:spacing w:after="120" w:before="240"/>
      </w:pPr>
      <w:r>
        <w:rPr>
          <w:rFonts w:ascii="Times New Roman" w:cs="Times New Roman" w:eastAsia="Times New Roman" w:hAnsi="Times New Roman"/>
          <w:b/>
          <w:bCs/>
          <w:sz w:val="24"/>
          <w:szCs w:val="24"/>
        </w:rPr>
        <w:t xml:space="preserve">SONUÇ VE İSTEM</w:t>
      </w:r>
    </w:p>
    <w:p>
      <w:pPr>
        <w:spacing w:after="120" w:line="300"/>
        <w:jc w:val="both"/>
      </w:pPr>
      <w:r>
        <w:rPr>
          <w:rFonts w:ascii="Times New Roman" w:cs="Times New Roman" w:eastAsia="Times New Roman" w:hAnsi="Times New Roman"/>
          <w:sz w:val="24"/>
          <w:szCs w:val="24"/>
        </w:rPr>
        <w:t xml:space="preserve">Yukarıda açıklanan nedenlerle; öncelikle dava konusu bağımsız bölümün tapu kaydına devir ve takyidat yasağı şeklinde ihtiyati tedbir konulmasına; davalı [ikinci alıcı] adına olan [....] numaralı bağımsız bölüme ait tapu kaydının iptali ile davacı adına tesciline; bu talebimiz kabul edilmezse terditli olarak bağımsız bölümün dava tarihindeki değeri olan şimdilik [....] TL’nin [temerrüt tarihinden] itibaren işleyecek faiziyle birlikte davalı yükleniciden tahsiline; yargılama giderleri ile vekâlet ücretinin davalılara yükletilmesine karar verilmesini saygıyla arz ederim.</w:t>
      </w:r>
    </w:p>
    <w:p>
      <w:pPr>
        <w:keepNext/>
        <w:spacing w:after="40"/>
        <w:jc w:val="right"/>
      </w:pPr>
      <w:r>
        <w:rPr>
          <w:rFonts w:ascii="Times New Roman" w:cs="Times New Roman" w:eastAsia="Times New Roman" w:hAnsi="Times New Roman"/>
          <w:sz w:val="24"/>
          <w:szCs w:val="24"/>
        </w:rPr>
        <w:t xml:space="preserve">[Tarih]</w:t>
      </w:r>
    </w:p>
    <w:p>
      <w:pPr>
        <w:keepNext/>
        <w:spacing w:after="40"/>
        <w:jc w:val="right"/>
      </w:pPr>
      <w:r>
        <w:rPr>
          <w:rFonts w:ascii="Times New Roman" w:cs="Times New Roman" w:eastAsia="Times New Roman" w:hAnsi="Times New Roman"/>
          <w:sz w:val="24"/>
          <w:szCs w:val="24"/>
        </w:rPr>
        <w:t xml:space="preserve">Davacı [Ad SOYAD] / Vekili Av. [Ad SOYAD]</w:t>
      </w:r>
    </w:p>
    <w:p>
      <w:pPr>
        <w:keepNext/>
        <w:spacing w:after="40"/>
        <w:jc w:val="right"/>
      </w:pPr>
      <w:r>
        <w:rPr>
          <w:rFonts w:ascii="Times New Roman" w:cs="Times New Roman" w:eastAsia="Times New Roman" w:hAnsi="Times New Roman"/>
          <w:sz w:val="24"/>
          <w:szCs w:val="24"/>
        </w:rPr>
        <w:t xml:space="preserve">İmza</w:t>
      </w:r>
    </w:p>
    <w:p>
      <w:pPr>
        <w:keepNext/>
        <w:spacing w:after="120" w:before="240"/>
      </w:pPr>
      <w:r>
        <w:rPr>
          <w:rFonts w:ascii="Times New Roman" w:cs="Times New Roman" w:eastAsia="Times New Roman" w:hAnsi="Times New Roman"/>
          <w:b/>
          <w:bCs/>
          <w:sz w:val="24"/>
          <w:szCs w:val="24"/>
        </w:rPr>
        <w:t xml:space="preserve">EKLER</w:t>
      </w:r>
    </w:p>
    <w:p>
      <w:pPr>
        <w:spacing w:after="120" w:line="300"/>
        <w:jc w:val="both"/>
      </w:pPr>
      <w:r>
        <w:rPr>
          <w:rFonts w:ascii="Times New Roman" w:cs="Times New Roman" w:eastAsia="Times New Roman" w:hAnsi="Times New Roman"/>
          <w:sz w:val="24"/>
          <w:szCs w:val="24"/>
        </w:rPr>
        <w:t xml:space="preserve">1. Satış vaadi sözleşmesi 2. Tapu kaydı ve şerh 3. Ödeme belgeleri 4. Teslim tutanağı 5. Vekâletname</w:t>
      </w:r>
    </w:p>
    <w:sectPr>
      <w:pgSz w:w="11906" w:h="16838" w:orient="portrait"/>
      <w:pgMar w:top="1417" w:right="1417" w:bottom="1417" w:left="141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Mükerrer satışta tapu iptali ve tescil, terditli tazminat ve ihtiyati tedbir dava dilekçesi</dc:title>
  <dc:creator>Hukukçular Evi Ankara</dc:creator>
  <cp:lastModifiedBy>Un-named</cp:lastModifiedBy>
  <cp:revision>1</cp:revision>
  <dcterms:created xsi:type="dcterms:W3CDTF">2026-11-02T13:13:51.399Z</dcterms:created>
  <dcterms:modified xsi:type="dcterms:W3CDTF">2026-11-02T13:13:51.407Z</dcterms:modified>
</cp:coreProperties>
</file>

<file path=docProps/custom.xml><?xml version="1.0" encoding="utf-8"?>
<Properties xmlns="http://schemas.openxmlformats.org/officeDocument/2006/custom-properties" xmlns:vt="http://schemas.openxmlformats.org/officeDocument/2006/docPropsVTypes"/>
</file>