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VALİLİĞİ</w:t>
        <w:br/>
      </w:r>
      <w:r>
        <w:rPr>
          <w:b/>
        </w:rPr>
        <w:t>İL MİLLÎ EĞİTİM MÜDÜRLÜĞÜ</w:t>
        <w:br/>
      </w:r>
      <w:r>
        <w:rPr>
          <w:b/>
        </w:rPr>
        <w:t>Disiplin Soruşturmacısı Sayın [Ad Soyad]’a</w:t>
      </w:r>
    </w:p>
    <w:p>
      <w:pPr>
        <w:spacing w:after="160"/>
        <w:jc w:val="left"/>
      </w:pPr>
      <w:r>
        <w:rPr>
          <w:b w:val="0"/>
        </w:rPr>
        <w:t>SAVUNMA VEREN: [Ad Soyad], [●] Ortaokulu öğretmeni, T.C. Kimlik No: [●]</w:t>
        <w:br/>
      </w:r>
      <w:r>
        <w:rPr>
          <w:b w:val="0"/>
        </w:rPr>
        <w:t>SORUŞTURMA: [●] tarihli ve [●] sayılı soruşturma onayı</w:t>
        <w:br/>
      </w:r>
      <w:r>
        <w:rPr>
          <w:b w:val="0"/>
        </w:rPr>
        <w:t>SAVUNMA İSTEM YAZISI: [●] tarihli ve [●] sayılı yazı (tebliğ tarihi: [●])</w:t>
        <w:br/>
      </w:r>
      <w:r>
        <w:rPr>
          <w:b w:val="0"/>
        </w:rPr>
        <w:t>İSNAT: Hakkında yasa dışı bahis faaliyetiyle bağlantılı para hareketleri nedeniyle ceza soruşturması başlatılması suretiyle Devlet memurunun itibar ve güven duygusunu sarsacak nitelikte davranışta bulunmak (657 s.K. m.125/B-d)</w:t>
      </w:r>
    </w:p>
    <w:p>
      <w:pPr>
        <w:spacing w:after="160"/>
        <w:jc w:val="both"/>
      </w:pPr>
      <w:r>
        <w:rPr>
          <w:b w:val="0"/>
        </w:rPr>
        <w:t>KONU: 657 sayılı Kanun’un 130. maddesi uyarınca, süresi içinde yazılı savunmamın sunulmasıdır.</w:t>
      </w:r>
    </w:p>
    <w:p>
      <w:pPr>
        <w:spacing w:after="160"/>
        <w:jc w:val="left"/>
      </w:pPr>
      <w:r>
        <w:rPr>
          <w:b/>
        </w:rPr>
        <w:t>AÇIKLAMALAR</w:t>
      </w:r>
    </w:p>
    <w:p>
      <w:pPr>
        <w:spacing w:after="160"/>
        <w:jc w:val="both"/>
      </w:pPr>
      <w:r>
        <w:rPr>
          <w:b w:val="0"/>
        </w:rPr>
        <w:t>Kurumumuza [●] tarihinde ulaşan [●] Cumhuriyet Başsavcılığının yazısıyla, adıma kayıtlı [●] Bankası hesabından yasa dışı bahis faaliyetiyle bağlantılı olduğu ileri sürülen para hareketleri gerçekleştiği gerekçesiyle hakkımda soruşturma başlatıldığı bildirilmiştir. Bu soruşturmada ifademi [●] tarihinde vermiş, hesabın bilgim dışında kullanıldığını açıklamış ve lehime olan delillerin toplanmasını talep etmiş bulunuyorum. Ceza soruşturması devam etmektedir ve hakkımda verilmiş bir karar yoktur. Yöneltilen isnada ilişkin savunmamı aşağıda sunuyorum.</w:t>
      </w:r>
    </w:p>
    <w:p>
      <w:pPr>
        <w:spacing w:after="160"/>
        <w:jc w:val="both"/>
      </w:pPr>
      <w:r>
        <w:rPr>
          <w:b w:val="0"/>
        </w:rPr>
        <w:t>1. Disiplin soruşturmasına kanuni süresi içinde başlanmamıştır (657 s.K. m.127/1)</w:t>
      </w:r>
    </w:p>
    <w:p>
      <w:pPr>
        <w:spacing w:after="160"/>
        <w:jc w:val="both"/>
      </w:pPr>
      <w:r>
        <w:rPr>
          <w:b w:val="0"/>
        </w:rPr>
        <w:t>Kanun, kınama cezasını gerektiren fiil ve hâller bakımından, bu fiil ve hâllerin öğrenildiği tarihten itibaren bir ay içinde disiplin soruşturmasına başlanmamasını ceza verme yetkisinin zamanaşımına uğraması sonucuna bağlamaktadır. Hakkımdaki ceza soruşturmasını bildiren yazı kurumumuza [●] tarihinde ulaşmış, soruşturma onayı ise [●] tarihinde, yani bir aylık süre geçtikten sonra verilmiştir. Bu nedenle isnat edilen fiil yönünden disiplin cezası verme yetkisi zamanaşımına uğramıştır.</w:t>
      </w:r>
    </w:p>
    <w:p>
      <w:pPr>
        <w:spacing w:after="160"/>
        <w:jc w:val="both"/>
      </w:pPr>
      <w:r>
        <w:rPr>
          <w:b w:val="0"/>
        </w:rPr>
        <w:t>2. Bana yüklenen bir davranış somut olarak gösterilmemiştir; ceza soruşturmasının başlatılmış olması tek başına disiplin fiili değildir (657 s.K. m.125/B-d; Anayasa m.38/4)</w:t>
      </w:r>
    </w:p>
    <w:p>
      <w:pPr>
        <w:spacing w:after="160"/>
        <w:jc w:val="both"/>
      </w:pPr>
      <w:r>
        <w:rPr>
          <w:b w:val="0"/>
        </w:rPr>
        <w:t>Hizmet dışında Devlet memurunun itibar ve güven duygusunu sarsacak nitelikte davranışta bulunmak, memurun kendi iradesiyle gerçekleştirdiği belirli bir davranışı gerektirir. Soruşturma onayında ve savunma istem yazısında, benim hangi tarihte, hangi davranışla bu sonuca yol açtığım gösterilmemiş; yalnızca hakkımda bir ceza soruşturması başlatıldığı belirtilmiştir. Suçluluğu hükmen sabit oluncaya kadar kimse suçlu sayılamaz. Ceza ve disiplin süreçlerinin birbirinden bağımsız olması, disiplin cezası için fiilin disiplin soruşturmasında ayrıca ve somut delillerle ortaya konulması gerektiği anlamına gelir; bu bağımsızlık, ceza soruşturmasının varlığının disiplin fiili yerine konulmasına imkân vermez.</w:t>
      </w:r>
    </w:p>
    <w:p>
      <w:pPr>
        <w:spacing w:after="160"/>
        <w:jc w:val="both"/>
      </w:pPr>
      <w:r>
        <w:rPr>
          <w:b w:val="0"/>
        </w:rPr>
        <w:t>3. Hesabın bilgim dışında kullanıldığı belgelerle ortadadır (657 s.K. m.130; Anayasa m.129/2)</w:t>
      </w:r>
    </w:p>
    <w:p>
      <w:pPr>
        <w:spacing w:after="160"/>
        <w:jc w:val="both"/>
      </w:pPr>
      <w:r>
        <w:rPr>
          <w:b w:val="0"/>
        </w:rPr>
        <w:t>Söz konusu hesap, [●] tarihinde kimlik bilgilerimin ele geçirilmesi sonucunda bilgim dışında açılmıştır; hesaba hiçbir zaman erişmedim ve hesaptan işlem yapmadım. Kimlik bilgilerimi kullananlar hakkında [●] tarihinde Cumhuriyet başsavcılığına şikâyette bulundum (Ek-1). Maaşımın yattığı ve fiilen kullandığım hesabımın dökümleri, söz konusu para hareketleriyle hiçbir bağlantım olmadığını göstermektedir (Ek-2). Okul müdürlüğünün düzenlediği görev ve devam kayıtları da hesabın kullanıldığı tarihlerde görevimin başında olduğumu ortaya koymaktadır (Ek-3). Bu belgelerin incelenmesini ve okul müdürü [●] ile meslektaşım [●]’nın tanık olarak dinlenmesini talep ediyorum.</w:t>
      </w:r>
    </w:p>
    <w:p>
      <w:pPr>
        <w:spacing w:after="160"/>
        <w:jc w:val="left"/>
      </w:pPr>
      <w:r>
        <w:rPr>
          <w:b/>
        </w:rPr>
        <w:t>SONUÇ VE İSTEM</w:t>
      </w:r>
    </w:p>
    <w:p>
      <w:pPr>
        <w:spacing w:after="160"/>
        <w:jc w:val="both"/>
      </w:pPr>
      <w:r>
        <w:rPr>
          <w:b w:val="0"/>
        </w:rPr>
        <w:t>Açıklanan nedenlerle, disiplin cezası verme yetkisinin zamanaşımına uğradığının tespitine, aksi kanaatte ise isnat edilen fiilin unsurları oluşmadığından hakkımda disiplin cezası verilmesine yer olmadığına karar verilmesini saygıyla arz ederim.</w:t>
      </w:r>
    </w:p>
    <w:p>
      <w:pPr>
        <w:spacing w:after="160"/>
        <w:jc w:val="left"/>
      </w:pPr>
      <w:r>
        <w:rPr>
          <w:b w:val="0"/>
        </w:rPr>
        <w:t>[Tarih]</w:t>
        <w:br/>
      </w:r>
      <w:r>
        <w:rPr>
          <w:b w:val="0"/>
        </w:rPr>
        <w:t>[Ad Soyad]</w:t>
        <w:br/>
      </w:r>
      <w:r>
        <w:rPr>
          <w:b w:val="0"/>
        </w:rPr>
        <w:t>[İmza]</w:t>
      </w:r>
    </w:p>
    <w:p>
      <w:pPr>
        <w:spacing w:after="160"/>
        <w:jc w:val="both"/>
      </w:pPr>
      <w:r>
        <w:rPr>
          <w:b w:val="0"/>
        </w:rPr>
        <w:t>EKLER: Ek-1 şikâyet dilekçesi örneği; Ek-2 banka hesap dökümleri; Ek-3 görev ve devam kayıtları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