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w:t>
        <w:br/>
      </w:r>
      <w:r>
        <w:rPr>
          <w:b w:val="0"/>
        </w:rPr>
        <w:t>ŞÜPHELİ: [Ad Soyad], T.C. Kimlik No: [●], [●] A.Ş. [genel müdürü / yönetim kurulu üyesi]</w:t>
        <w:br/>
      </w:r>
      <w:r>
        <w:rPr>
          <w:b w:val="0"/>
        </w:rPr>
        <w:t>MÜDAFİİ: Av. [Ad Soyad], [●] Barosu, sicil no [●], [adres]</w:t>
        <w:br/>
      </w:r>
      <w:r>
        <w:rPr>
          <w:b w:val="0"/>
        </w:rPr>
        <w:t>KONU: Müvekkil hakkında 7258 sayılı Kanun’un 5/1-c maddesi [ve TCK 282. maddesi] kapsamında yürütülen soruşturmada savunmalarımızın sunulması, lehe delillerin toplanması ve kovuşturmaya yer olmadığına karar verilmesi talebidir.</w:t>
      </w:r>
    </w:p>
    <w:p>
      <w:pPr>
        <w:spacing w:after="160"/>
        <w:jc w:val="left"/>
      </w:pPr>
      <w:r>
        <w:rPr>
          <w:b/>
        </w:rPr>
        <w:t>AÇIKLAMALAR</w:t>
      </w:r>
    </w:p>
    <w:p>
      <w:pPr>
        <w:spacing w:after="160"/>
        <w:jc w:val="both"/>
      </w:pPr>
      <w:r>
        <w:rPr>
          <w:b w:val="0"/>
        </w:rPr>
        <w:t>Müvekkil, [Sermaye Piyasası Kurulundan faaliyet izni almış / 6362 sayılı Sermaye Piyasası Kanunu’nun geçici 11. maddesi uyarınca Kurula yaptığı başvuru Kurul internet sitesinde ilan edilmiş] kripto varlık hizmet sağlayıcısı [●] A.Ş.’nin [●] tarihinden bu yana [genel müdürüdür]. Soruşturmada, platformdaki [●] adet müşteri hesabının yasa dışı bahis gelirinin aktarılmasında kullanıldığı ileri sürülmektedir. Müvekkilin isnat edilen fiillerle bir ilgisinin bulunmadığına ilişkin hususlar aşağıda sırasıyla açıklanmıştır.</w:t>
      </w:r>
    </w:p>
    <w:p>
      <w:pPr>
        <w:spacing w:after="160"/>
        <w:jc w:val="both"/>
      </w:pPr>
      <w:r>
        <w:rPr>
          <w:b w:val="0"/>
        </w:rPr>
        <w:t>1. İsnat edilen suç ancak kasten işlenebilir ve ceza sorumluluğu şahsidir; müvekkilin ileri sürülen bahis bağlantısını bildiğine veya öngördüğüne dair delil bulunmamaktadır (7258 s.K. m.5/1-c; TCK m.20/1, 21)</w:t>
      </w:r>
    </w:p>
    <w:p>
      <w:pPr>
        <w:spacing w:after="160"/>
        <w:jc w:val="both"/>
      </w:pPr>
      <w:r>
        <w:rPr>
          <w:b w:val="0"/>
        </w:rPr>
        <w:t>Bahisle bağlantılı olarak para nakline aracılık suçu ancak kasten işlenebilir ve kimse başkasının fiilinden dolayı sorumlu tutulamaz. Müvekkil, platformun [genel müdürü] olarak müşteri emirlerini tek tek gerçekleştiren kişi değildir; isnat konusu transfer emirlerinin [tamamı tam otomatik onay sınırının altında kalmış / hiçbiri III-35/B.2 sayılı Tebliğin 30/3 maddesi uyarınca müvekkilin onayına sunulmamış]tır. İsnat konusu işlemler müşterilerin kendi emirleriyle ve platformun yazılı prosedürlerine uygun olarak gerçekleşmiştir. Dosyada, isnat konusu işlemlerin bahisle bağlantılı olduğu ileri sürülmekte ise de, müvekkilin böyle bir bağlantıyı bildiğine veya öngördüğüne dair hiçbir delil bulunmamaktadır.</w:t>
      </w:r>
    </w:p>
    <w:p>
      <w:pPr>
        <w:spacing w:after="160"/>
        <w:jc w:val="both"/>
      </w:pPr>
      <w:r>
        <w:rPr>
          <w:b w:val="0"/>
        </w:rPr>
        <w:t>2. İsnat konusu hesapların sahiplerinin kimlikleri mevzuata uygun olarak tespit edilmiştir (5549 s.K. m.3; Tedbirler Yönetmeliği m.5/1; III-35/B.1 m.25)</w:t>
      </w:r>
    </w:p>
    <w:p>
      <w:pPr>
        <w:spacing w:after="160"/>
        <w:jc w:val="both"/>
      </w:pPr>
      <w:r>
        <w:rPr>
          <w:b w:val="0"/>
        </w:rPr>
        <w:t>İsnat konusu hesapların her biri için hesap açılışında kimlik tespiti yapılmış, kimlik bilgileri nüfus kayıtlarıyla doğrulanmış ve uzaktan kimlik tespiti kayıtları saklanmıştır. Hesaplar üzerinde müşteri dışında işlem yapılmasına ilişkin bir vekâletname bulunmamaktadır. Bu kayıtlar ekte sunulmuştur.</w:t>
      </w:r>
    </w:p>
    <w:p>
      <w:pPr>
        <w:spacing w:after="160"/>
        <w:jc w:val="both"/>
      </w:pPr>
      <w:r>
        <w:rPr>
          <w:b w:val="0"/>
        </w:rPr>
        <w:t>3. Para transferleri yalnızca müşterilerin kendilerine ait banka hesapları üzerinden kabul edilmiştir (III-35/B.2 m.51/1, 51/3)</w:t>
      </w:r>
    </w:p>
    <w:p>
      <w:pPr>
        <w:spacing w:after="160"/>
        <w:jc w:val="both"/>
      </w:pPr>
      <w:r>
        <w:rPr>
          <w:b w:val="0"/>
        </w:rPr>
        <w:t>Platform nezdinde elden nakit kabul edilmemiş, müşterilere elden nakit verilmemiştir. İsnat konusu hesaplara yapılan Türk lirası yatırma ve çekme işlemlerinin tamamı, hesap sahibi müşterinin kendi adına açılmış banka hesabından ve bu hesaba elektronik transferle gerçekleşmiştir. Hesap sahibi ile banka hesabı sahibinin aynı kişi olduğu ekli eşleşme tablosunda gösterilmiştir. Üçüncü kişilere ait banka hesaplarından gelen transferler [kabul edilmeyerek gönderen hesaba iade edilmiştir].</w:t>
      </w:r>
    </w:p>
    <w:p>
      <w:pPr>
        <w:spacing w:after="160"/>
        <w:jc w:val="both"/>
      </w:pPr>
      <w:r>
        <w:rPr>
          <w:b w:val="0"/>
        </w:rPr>
        <w:t>4. Kripto varlık transferlerinde gönderen ve alıcı bilgileri mevzuata uygun olarak alınmıştır (Tedbirler Yönetmeliği m.24/A/1, 24/A/2, 24/A/6)</w:t>
      </w:r>
    </w:p>
    <w:p>
      <w:pPr>
        <w:spacing w:after="160"/>
        <w:jc w:val="both"/>
      </w:pPr>
      <w:r>
        <w:rPr>
          <w:b w:val="0"/>
        </w:rPr>
        <w:t>İsnat konusu transferlerde, işlem tarihinde yürürlükte olan [on beş bin / otuz bin] Türk lirası ve üzerindeki transferlerde gönderenin adı, cüzdan adresi ve kimliğini belirlemeye yarayan bilgi teyit edilerek alıcının adı ve cüzdan adresiyle birlikte transfer mesajlarına eklenmiş; bu tutarın altındaki transferlerde de gönderen ve alıcının adı ile cüzdan adresi mesajlarda yer almıştır. Herhangi bir hizmet sağlayıcı nezdinde kayıtlı olmayan cüzdan adreslerine gönderilen veya bu adreslerden alınan transferlerde müşteriden karşı tarafın kimliğine ilişkin beyan alınmıştır. İlgili transfer mesajları ve beyanlar ekte sunulmuştur.</w:t>
      </w:r>
    </w:p>
    <w:p>
      <w:pPr>
        <w:spacing w:after="160"/>
        <w:jc w:val="both"/>
      </w:pPr>
      <w:r>
        <w:rPr>
          <w:b w:val="0"/>
        </w:rPr>
        <w:t>5. Platformda uyum programı kurulmuş ve yürütülmektedir; 5549 sayılı Kanun gereğince yükümlülüklerini yerine getiren gerçek ve tüzel kişiler hukuki ve cezai bakımdan sorumlu tutulamaz (Uyum Programı Yönetmeliği m.4/1-ı, 5, 6, 13/2, 16; 5549 s.K. m.10/1)</w:t>
      </w:r>
    </w:p>
    <w:p>
      <w:pPr>
        <w:spacing w:after="160"/>
        <w:jc w:val="both"/>
      </w:pPr>
      <w:r>
        <w:rPr>
          <w:b w:val="0"/>
        </w:rPr>
        <w:t>Platformda [●] tarihinde uyum görevlisi ve yardımcısı atanmış, kurum politikası yönetim kurulunca onaylanmış, müşteri risk derecelendirmesi, tutar ve işlem sayısı sınırları ile işlem izleme süreçleri yazılı hâle getirilmiş ve uygulanmıştır. 5549 sayılı Kanun’un 10/1. maddesi, bu Kanun gereğince yükümlülüklerini yerine getiren gerçek ve tüzel kişilerin hiçbir şekilde hukuki ve cezai bakımdan sorumlu tutulamayacağını öngörür.</w:t>
      </w:r>
    </w:p>
    <w:p>
      <w:pPr>
        <w:spacing w:after="160"/>
        <w:jc w:val="both"/>
      </w:pPr>
      <w:r>
        <w:rPr>
          <w:b w:val="0"/>
        </w:rPr>
        <w:t>6. [İzinsiz kripto varlık hizmet sağlayıcılığı isnadı yönünden] Kurulun yazılı başvurusu bulunmamaktadır (SPKn m.115/1, 109/A)</w:t>
      </w:r>
    </w:p>
    <w:p>
      <w:pPr>
        <w:spacing w:after="160"/>
        <w:jc w:val="both"/>
      </w:pPr>
      <w:r>
        <w:rPr>
          <w:b w:val="0"/>
        </w:rPr>
        <w:t>Sermaye Piyasası Kanunu’nda tanımlanan suçlardan dolayı soruşturma yapılması Kurulun Cumhuriyet başsavcılığına yazılı başvurusuna bağlıdır ve bu başvuru muhakeme şartıdır. Dosyada müvekkil hakkında bu yönde bir Kurul başvurusu [bulunmamaktadır]. Platformun [faaliyet izni bulunmaktadır / geçici 11. madde uyarınca yaptığı başvuru Kurulca ilan edilmiştir].</w:t>
      </w:r>
    </w:p>
    <w:p>
      <w:pPr>
        <w:spacing w:after="160"/>
        <w:jc w:val="both"/>
      </w:pPr>
      <w:r>
        <w:rPr>
          <w:b w:val="0"/>
        </w:rPr>
        <w:t>7. [Aklama isnadı yönünden] Müvekkilin suç gelirinin kaynağını gizleme maksadıyla bir işlem yaptığına veya bir malvarlığı değerini suç geliri olduğunu bilerek kabul ettiğine dair delil bulunmamaktadır (TCK m.282/1, 282/2)</w:t>
      </w:r>
    </w:p>
    <w:p>
      <w:pPr>
        <w:spacing w:after="160"/>
        <w:jc w:val="both"/>
      </w:pPr>
      <w:r>
        <w:rPr>
          <w:b w:val="0"/>
        </w:rPr>
        <w:t>Aklama suçu, malvarlığı değerinin suçtan kaynaklandığının bilinmesini; birinci fıkrada ayrıca gayrimeşru kaynağı gizleme veya meşru bir yolla elde edildiği konusunda kanaat uyandırma maksadını gerektirir. [Müvekkil, isnat konusu hesaplarda kendisi adına veya platform adına herhangi bir işlem yapmamıştır; bu hesaplardan kendisine aktarılmış bir değer bulunmamaktadır. Platformun bu hesaplardan elde ettiği gelir, tarifede ilan edilen olağan işlem komisyonundan ibarettir.] Dosyada müvekkilin gizleme maksadıyla hareket ettiğine veya bir değerin suç geliri olduğunu bildiğine dair delil yoktur.</w:t>
      </w:r>
    </w:p>
    <w:p>
      <w:pPr>
        <w:spacing w:after="160"/>
        <w:jc w:val="left"/>
      </w:pPr>
      <w:r>
        <w:rPr>
          <w:b/>
        </w:rPr>
        <w:t>DELİLLER</w:t>
      </w:r>
    </w:p>
    <w:p>
      <w:pPr>
        <w:spacing w:after="160"/>
        <w:jc w:val="both"/>
      </w:pPr>
      <w:r>
        <w:rPr>
          <w:b w:val="0"/>
        </w:rPr>
        <w:t>Faaliyet izni veya Kurul ilanı; müşteri kimlik tespiti ve uzaktan kimlik doğrulama kayıtları; müşteri hesabı ile banka hesabı eşleşme tablosu; banka transfer kayıtları; transfer mesajları ve kayıtsız cüzdan beyanları; IP ve log kayıtları; transfer onay kayıtları; kurum politikası, uyum görevlisi atama belgeleri ve yönetim kurulu kararları; komisyon tarifesi; müvekkilin görev tanımı ve yetki belgeleri; her türlü yasal delil.</w:t>
      </w:r>
    </w:p>
    <w:p>
      <w:pPr>
        <w:spacing w:after="160"/>
        <w:jc w:val="left"/>
      </w:pPr>
      <w:r>
        <w:rPr>
          <w:b/>
        </w:rPr>
        <w:t>HUKUKİ SEBEPLER</w:t>
      </w:r>
    </w:p>
    <w:p>
      <w:pPr>
        <w:spacing w:after="160"/>
        <w:jc w:val="both"/>
      </w:pPr>
      <w:r>
        <w:rPr>
          <w:b w:val="0"/>
        </w:rPr>
        <w:t>5271 sayılı Ceza Muhakemesi Kanunu m.63, 147, 160, 172; 5237 sayılı Türk Ceza Kanunu m.20, 21, 282; 7258 sayılı Kanun m.5; 5549 sayılı Suç Gelirlerinin Aklanmasının Önlenmesi Hakkında Kanun m.3, 10; 6362 sayılı Sermaye Piyasası Kanunu m.35/B, 35/C, 109/A, 115; Suç Gelirlerinin Aklanmasının ve Terörün Finansmanının Önlenmesine Dair Tedbirler Hakkında Yönetmelik; Suç Gelirlerinin Aklanmasının ve Terörün Finansmanının Önlenmesine İlişkin Yükümlülüklere Uyum Programı Hakkında Yönetmelik; III-35/B.1 ve III-35/B.2 sayılı Tebliğler ve ilgili mevzuat.</w:t>
      </w:r>
    </w:p>
    <w:p>
      <w:pPr>
        <w:spacing w:after="160"/>
        <w:jc w:val="left"/>
      </w:pPr>
      <w:r>
        <w:rPr>
          <w:b/>
        </w:rPr>
        <w:t>SONUÇ VE İSTEM</w:t>
      </w:r>
    </w:p>
    <w:p>
      <w:pPr>
        <w:spacing w:after="160"/>
        <w:jc w:val="left"/>
      </w:pPr>
      <w:r>
        <w:rPr>
          <w:b w:val="0"/>
        </w:rPr>
        <w:t>Açıklanan nedenlerle;</w:t>
        <w:br/>
      </w:r>
      <w:r>
        <w:rPr>
          <w:b w:val="0"/>
        </w:rPr>
        <w:t>1. Müşteri kimlik ve banka hesabı eşleşme kayıtları, IP ve log kayıtları, transfer onay kayıtları ile transfer mesajlarının platformdan getirtilerek lehe delillerin toplanmasına ve gerekirse bu kayıtlar üzerinde bilirkişi incelemesi yaptırılmasına (CMK m.63/1, 147/1-f, 160/2),</w:t>
        <w:br/>
      </w:r>
      <w:r>
        <w:rPr>
          <w:b w:val="0"/>
        </w:rPr>
        <w:t>2. Müvekkil hakkında, [izinsiz kripto varlık hizmet sağlayıcılığı isnadı yönünden Kurulun yazılı başvurusu bulunmadığından kovuşturma olanağı bulunmaması, diğer isnatlar yönünden] kamu davasının açılması için yeterli şüphe oluşturacak delil bulunmaması nedeniyle kovuşturmaya yer olmadığına (CMK m.172/1; SPKn m.115/1),</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faaliyet izni veya Kurul ilanı; kimlik tespiti kayıtları; hesap eşleşme tablosu; banka transfer kayıtları; transfer mesajları ve beyanlar; IP, log ve transfer onay kayıtları; kurum politikası ve yönetim kurulu kararları; komisyon tarifesi; görev tanımı ve yetki belgeleri.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