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TÜRKİYE FUTBOL FEDERASYONU</w:t>
        <w:br/>
      </w:r>
      <w:r>
        <w:rPr>
          <w:b/>
        </w:rPr>
        <w:t>TAHKİM KURULU BAŞKANLIĞINA</w:t>
      </w:r>
    </w:p>
    <w:p>
      <w:pPr>
        <w:spacing w:after="160"/>
        <w:jc w:val="left"/>
      </w:pPr>
      <w:r>
        <w:rPr>
          <w:b w:val="0"/>
        </w:rPr>
        <w:t>İTİRAZ EDEN: [Ad Soyad], T.C. Kimlik No: [●], [●] Kulübü profesyonel futbolcusu, lisans no [●]</w:t>
        <w:br/>
      </w:r>
      <w:r>
        <w:rPr>
          <w:b w:val="0"/>
        </w:rPr>
        <w:t>VEKİLİ: Av. [Ad Soyad], [●] Barosu, sicil no [●]</w:t>
        <w:br/>
      </w:r>
      <w:r>
        <w:rPr>
          <w:b w:val="0"/>
        </w:rPr>
        <w:t>İTİRAZ EDİLEN KARAR: Profesyonel Futbol Disiplin Kurulunun [●] tarihli ve [●] sayılı kararı</w:t>
        <w:br/>
      </w:r>
      <w:r>
        <w:rPr>
          <w:b w:val="0"/>
        </w:rPr>
        <w:t>TEBLİĞ TARİHİ: [●]</w:t>
      </w:r>
    </w:p>
    <w:p>
      <w:pPr>
        <w:spacing w:after="160"/>
        <w:jc w:val="both"/>
      </w:pPr>
      <w:r>
        <w:rPr>
          <w:b w:val="0"/>
        </w:rPr>
        <w:t>KONU: Futbol Disiplin Talimatı’nın 57 nci maddesi uyarınca verilen [●] ay hak mahrumiyeti cezasının kaldırılması ve itiraz incelemesi sonuçlanıncaya kadar infazın durdurulması talebidir.</w:t>
      </w:r>
    </w:p>
    <w:p>
      <w:pPr>
        <w:spacing w:after="160"/>
        <w:jc w:val="left"/>
      </w:pPr>
      <w:r>
        <w:rPr>
          <w:b/>
        </w:rPr>
        <w:t>AÇIKLAMALAR</w:t>
      </w:r>
    </w:p>
    <w:p>
      <w:pPr>
        <w:spacing w:after="160"/>
        <w:jc w:val="both"/>
      </w:pPr>
      <w:r>
        <w:rPr>
          <w:b w:val="0"/>
        </w:rPr>
        <w:t>Müvekkil hakkında, adına kayıtlı olduğu belirtilen [●] bahis hesabında [●] ile [●] tarihleri arasında futbol müsabakaları üzerine bahis oynandığı gerekçesiyle Futbol Disiplin Talimatı’nın 57 nci maddesi uyarınca [●] ay hak mahrumiyeti cezası verilmiştir. Kararda, hesaptaki işlemlerin hangilerinin futbol müsabakalarına ilişkin olduğu, hangi tarihlerde yapıldığı ve müvekkil tarafından gerçekleştirildiğini gösteren delilin ne olduğu ayrı ayrı gösterilmemiştir. Hesap, müvekkilin kimlik bilgileri kullanılarak [●] tarafından açılmış ve kullanılmıştır. Bu kişinin yazılı beyanı ile hesabın oturum ve cihaz kayıtlarına ilişkin belgeler ekte sunulmuştur.</w:t>
      </w:r>
    </w:p>
    <w:p>
      <w:pPr>
        <w:spacing w:after="160"/>
        <w:jc w:val="both"/>
      </w:pPr>
      <w:r>
        <w:rPr>
          <w:b w:val="0"/>
        </w:rPr>
        <w:t>1. İtiraz süresinde ve yetkili merci nezdinde yapılmaktadır (FDT m.88/1, m.89/1, 89/3)</w:t>
      </w:r>
    </w:p>
    <w:p>
      <w:pPr>
        <w:spacing w:after="160"/>
        <w:jc w:val="both"/>
      </w:pPr>
      <w:r>
        <w:rPr>
          <w:b w:val="0"/>
        </w:rPr>
        <w:t>Profesyonel Futbol Disiplin Kurulu kararlarına karşı tebliğ tarihinden itibaren yedi gün içinde Tahkim Kurulu nezdinde itiraz edilebilir ve itirazı cezalandırılan kişi yapabilir. Karar müvekkile [●] tarihinde tebliğ edilmiş olup itiraz yedi günlük süre içinde ve Tahkim Kurulu Talimatında gösterilen usule uygun olarak yapılmaktadır.</w:t>
      </w:r>
    </w:p>
    <w:p>
      <w:pPr>
        <w:spacing w:after="160"/>
        <w:jc w:val="both"/>
      </w:pPr>
      <w:r>
        <w:rPr>
          <w:b w:val="0"/>
        </w:rPr>
        <w:t>2. Kararın gerekçesi, ihlali oluşturan işlemleri ayrı ayrı göstermemektedir (FDT m.4/4, m.86/5)</w:t>
      </w:r>
    </w:p>
    <w:p>
      <w:pPr>
        <w:spacing w:after="160"/>
        <w:jc w:val="both"/>
      </w:pPr>
      <w:r>
        <w:rPr>
          <w:b w:val="0"/>
        </w:rPr>
        <w:t>Disiplin kurulu kararları yasal gerekçeleri ve kararın dayandırıldığı hükümleri içermek zorundadır; ceza da somut olayın bütün şartları ve kişinin kusur derecesi değerlendirilerek belirlenir. Kararda yalnızca hesabın müvekkil adına kayıtlı olduğu belirtilmiş, ihlal oluşturduğu kabul edilen işlemlerin tarihi, konusu ve müvekkille bağlantısı gösterilmemiştir. Bu eksiklik, kararın denetlenmesini imkânsız kılmaktadır.</w:t>
      </w:r>
    </w:p>
    <w:p>
      <w:pPr>
        <w:spacing w:after="160"/>
        <w:jc w:val="both"/>
      </w:pPr>
      <w:r>
        <w:rPr>
          <w:b w:val="0"/>
        </w:rPr>
        <w:t>3. Hesaptaki işlemlerin önemli bir kısmı futbol bahsi değildir (FDT m.57/1-a)</w:t>
      </w:r>
    </w:p>
    <w:p>
      <w:pPr>
        <w:spacing w:after="160"/>
        <w:jc w:val="both"/>
      </w:pPr>
      <w:r>
        <w:rPr>
          <w:b w:val="0"/>
        </w:rPr>
        <w:t>Talimat yalnızca futbol müsabakaları veya futbolla ilgili aktiviteler üzerine oynanan bahisleri yasaklamaktadır. Ekte sunulan hesap dökümünden, işlemlerin [●] adedinin basketbol, tenis ve diğer spor dalları ile şans oyunlarına ilişkin olduğu görülmektedir. Bu işlemlerin ihlal kapsamında değerlendirilmesi mümkün değildir.</w:t>
      </w:r>
    </w:p>
    <w:p>
      <w:pPr>
        <w:spacing w:after="160"/>
        <w:jc w:val="both"/>
      </w:pPr>
      <w:r>
        <w:rPr>
          <w:b w:val="0"/>
        </w:rPr>
        <w:t>4. Müvekkilin bu işlemlerde kastı veya taksiri bulunmamaktadır (FDT m.5)</w:t>
      </w:r>
    </w:p>
    <w:p>
      <w:pPr>
        <w:spacing w:after="160"/>
        <w:jc w:val="both"/>
      </w:pPr>
      <w:r>
        <w:rPr>
          <w:b w:val="0"/>
        </w:rPr>
        <w:t>Talimattaki ihlaller kasten veya taksirle gerçekleştirilmeleri hâlinde cezalandırılır. Hesap müvekkilin bilgisi dışında, kimlik bilgileri kullanılarak açılmış; bütün işlemler hesabı açan kişiye ait cihazlardan yapılmıştır. Müvekkilin hesabın açılmasına veya kullanılmasına herhangi bir katkısı yoktur. Müvekkil durumu öğrenir öğrenmez [●] tarihinde Cumhuriyet başsavcılığına şikâyette bulunmuştur. Bu olgular karşısında müvekkile kusur yüklenemez.</w:t>
      </w:r>
    </w:p>
    <w:p>
      <w:pPr>
        <w:spacing w:after="160"/>
        <w:jc w:val="both"/>
      </w:pPr>
      <w:r>
        <w:rPr>
          <w:b w:val="0"/>
        </w:rPr>
        <w:t>5. İşlemlerin bir kısmı bakımından soruşturma zamanaşımı dolmuştur (FDT m.14/1-2)</w:t>
      </w:r>
    </w:p>
    <w:p>
      <w:pPr>
        <w:spacing w:after="160"/>
        <w:jc w:val="both"/>
      </w:pPr>
      <w:r>
        <w:rPr>
          <w:b w:val="0"/>
        </w:rPr>
        <w:t>Saha dışında gerçekleştirilen ihlallerde soruşturma zamanaşımı beş yıldır. Kararda esas alınan işlemlerden [●] tarihinden önce yapılanlar bakımından beş yıllık süre, soruşturmanın başladığı [●] tarihinden önce dolmuştur. Bu işlemlerin ihlal değerlendirmesinde ve cezanın belirlenmesinde dikkate alınması mümkün değildir.</w:t>
      </w:r>
    </w:p>
    <w:p>
      <w:pPr>
        <w:spacing w:after="160"/>
        <w:jc w:val="both"/>
      </w:pPr>
      <w:r>
        <w:rPr>
          <w:b w:val="0"/>
        </w:rPr>
        <w:t>6. Aksi kanaat hâlinde ceza alt sınırdan belirlenmeli ve takdiri indirim uygulanmalıdır (FDT m.4/4, m.13, m.57/2)</w:t>
      </w:r>
    </w:p>
    <w:p>
      <w:pPr>
        <w:spacing w:after="160"/>
        <w:jc w:val="both"/>
      </w:pPr>
      <w:r>
        <w:rPr>
          <w:b w:val="0"/>
        </w:rPr>
        <w:t>Kabul anlamına gelmemek kaydıyla, Kurulunuzca ihlalin varlığı kabul edilse dahi, müvekkilin daha önce herhangi bir disiplin cezası almamış olması, işlemlerin müvekkilin takımının müsabakalarıyla hiçbir ilgisinin bulunmaması ve müvekkilin şikâyette bulunarak süreci kendisinin başlatmış olması gözetilerek cezanın üç aylık alt sınırdan belirlenmesi ve takdiri indirim uygulanması gerekir.</w:t>
      </w:r>
    </w:p>
    <w:p>
      <w:pPr>
        <w:spacing w:after="160"/>
        <w:jc w:val="both"/>
      </w:pPr>
      <w:r>
        <w:rPr>
          <w:b w:val="0"/>
        </w:rPr>
        <w:t>7. İtiraz sonuçlanıncaya kadar infaz durdurulmalıdır (FDT m.89/4)</w:t>
      </w:r>
    </w:p>
    <w:p>
      <w:pPr>
        <w:spacing w:after="160"/>
        <w:jc w:val="both"/>
      </w:pPr>
      <w:r>
        <w:rPr>
          <w:b w:val="0"/>
        </w:rPr>
        <w:t>İtiraz cezanın infazını durdurmaz; ancak itiraz merciinden infazın durdurulması talep edilebilir. Müvekkilin profesyonel futbolcu olarak sezon içinde oynayamaması, itiraz sonunda kaldırılması muhtemel bir cezanın telafisi imkânsız sonuçlar doğurmasına yol açacaktır.</w:t>
      </w:r>
    </w:p>
    <w:p>
      <w:pPr>
        <w:spacing w:after="160"/>
        <w:jc w:val="left"/>
      </w:pPr>
      <w:r>
        <w:rPr>
          <w:b/>
        </w:rPr>
        <w:t>SONUÇ VE İSTEM</w:t>
      </w:r>
    </w:p>
    <w:p>
      <w:pPr>
        <w:spacing w:after="160"/>
        <w:jc w:val="left"/>
      </w:pPr>
      <w:r>
        <w:rPr>
          <w:b w:val="0"/>
        </w:rPr>
        <w:t>Açıklanan nedenlerle;</w:t>
        <w:br/>
      </w:r>
      <w:r>
        <w:rPr>
          <w:b w:val="0"/>
        </w:rPr>
        <w:t>1. İtiraz incelemesi sonuçlanıncaya kadar cezanın infazının durdurulmasına,</w:t>
        <w:br/>
      </w:r>
      <w:r>
        <w:rPr>
          <w:b w:val="0"/>
        </w:rPr>
        <w:t>2. Profesyonel Futbol Disiplin Kurulunun [●] tarihli ve [●] sayılı kararının kaldırılarak müvekkil hakkında ceza verilmesine yer olmadığına,</w:t>
        <w:br/>
      </w:r>
      <w:r>
        <w:rPr>
          <w:b w:val="0"/>
        </w:rPr>
        <w:t>3. Aksi kanaat hâlinde, kabul anlamına gelmemek kaydıyla, cezanın alt sınırdan belirlenerek takdiri indirim uygulanmasına,</w:t>
        <w:br/>
      </w:r>
      <w:r>
        <w:rPr>
          <w:b w:val="0"/>
        </w:rPr>
        <w:t>karar verilmesini saygılarımızla talep ederiz.</w:t>
      </w:r>
    </w:p>
    <w:p>
      <w:pPr>
        <w:spacing w:after="160"/>
        <w:jc w:val="left"/>
      </w:pPr>
      <w:r>
        <w:rPr>
          <w:b w:val="0"/>
        </w:rPr>
        <w:t>[Tarih]</w:t>
        <w:br/>
      </w:r>
      <w:r>
        <w:rPr>
          <w:b w:val="0"/>
        </w:rPr>
        <w:t>İtiraz Eden Vekili</w:t>
        <w:br/>
      </w:r>
      <w:r>
        <w:rPr>
          <w:b w:val="0"/>
        </w:rPr>
        <w:t>Av. [Ad Soyad]</w:t>
        <w:br/>
      </w:r>
      <w:r>
        <w:rPr>
          <w:b w:val="0"/>
        </w:rPr>
        <w:t>[e-imza]</w:t>
      </w:r>
    </w:p>
    <w:p>
      <w:pPr>
        <w:spacing w:after="160"/>
        <w:jc w:val="both"/>
      </w:pPr>
      <w:r>
        <w:rPr>
          <w:b w:val="0"/>
        </w:rPr>
        <w:t>EKLER: Vekâletname; itiraz edilen karar ve tebliğ belgesi; hesap dökümü; hesabı açan kişinin yazılı beyanı; oturum ve cihaz kayıtlarına ilişkin belgeler; Cumhuriyet başsavcılığına yapılan şikâyet dilekçesi; varsa itiraz bedeline ilişkin belge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