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w:t>
        <w:br/>
      </w:r>
      <w:r>
        <w:rPr>
          <w:b w:val="0"/>
        </w:rPr>
        <w:t>ŞÜPHELİ: [Ad Soyad], T.C. Kimlik No: [●], [●] Döviz Sınırlı Yetkili Müessese A.Ş. yönetim kurulu başkanı, [adres]</w:t>
        <w:br/>
      </w:r>
      <w:r>
        <w:rPr>
          <w:b w:val="0"/>
        </w:rPr>
        <w:t>MÜDAFİİ: Av. [Ad Soyad], [●] Barosu, sicil no [●], [adres]</w:t>
        <w:br/>
      </w:r>
      <w:r>
        <w:rPr>
          <w:b w:val="0"/>
        </w:rPr>
        <w:t>İADE TALEP EDEN (MALİK): [●] Döviz Sınırlı Yetkili Müessese A.Ş., MERSİS No: [●], vekili Av. [Ad Soyad]</w:t>
        <w:br/>
      </w:r>
      <w:r>
        <w:rPr>
          <w:b w:val="0"/>
        </w:rPr>
        <w:t>KONU: Yasa dışı bahisle bağlantılı para nakline aracılık ve suç gelirini aklama isnadına karşı savunmalarımızın sunulması, lehe delillerin toplanması, el konulan kasa mevcudunun iadesi ve kovuşturmaya yer olmadığına karar verilmesi talebidir.</w:t>
      </w:r>
    </w:p>
    <w:p>
      <w:pPr>
        <w:spacing w:after="160"/>
        <w:jc w:val="left"/>
      </w:pPr>
      <w:r>
        <w:rPr>
          <w:b/>
        </w:rPr>
        <w:t>AÇIKLAMALAR</w:t>
      </w:r>
    </w:p>
    <w:p>
      <w:pPr>
        <w:spacing w:after="160"/>
        <w:jc w:val="both"/>
      </w:pPr>
      <w:r>
        <w:rPr>
          <w:b w:val="0"/>
        </w:rPr>
        <w:t>Müvekkilin yönetim kurulu başkanı olduğu [●] Döviz Sınırlı Yetkili Müessese A.Ş., Hazine ve Maliye Bakanlığının [●] tarihli faaliyet izniyle [adres] adresinde döviz alım satımı yapmaktadır. [●] tarihinde iş yerinde yapılan aramada kasada bulunan [●] TL, [●] ABD Doları, [●] Avro ve [●] gram altına el konulmuş, şirketin [●] Bankası nezdindeki alım satım hesabına [●] Sulh Ceza Hâkimliğinin [●] tarihli kararıyla el konulmuştur. Müvekkil, [●] ve [●] isimli kişilerin yasa dışı bahis gelirini şirket aracılığıyla dövize çevirdiği iddiasıyla 7258 sayılı Kanun’un 5/1-c ve TCK 282. maddeleri kapsamında şüpheli sıfatıyla ifadeye çağrılmıştır. Müvekkilin isnat edilen suçları işlemediğini ve el konulan değerlerin iadesi gerektiğini gösteren hususlar aşağıda sırasıyla açıklanmıştır.</w:t>
      </w:r>
    </w:p>
    <w:p>
      <w:pPr>
        <w:spacing w:after="160"/>
        <w:jc w:val="both"/>
      </w:pPr>
      <w:r>
        <w:rPr>
          <w:b w:val="0"/>
        </w:rPr>
        <w:t>1. Müvekkilin yürüttüğü faaliyet izinli döviz alım satımıdır; para nakline aracılık unsuru oluşmamıştır (7258 s.K. m.5/1-c; 1567 s.K. m.4/1-a; Tebliğ m.4/1)</w:t>
      </w:r>
    </w:p>
    <w:p>
      <w:pPr>
        <w:spacing w:after="160"/>
        <w:jc w:val="both"/>
      </w:pPr>
      <w:r>
        <w:rPr>
          <w:b w:val="0"/>
        </w:rPr>
        <w:t>Şirket, ticari amaçla döviz alım satımı için kanunun aradığı izni almış bir yetkili müessesedir ve faaliyet konusu efektif yabancı paralar ile belirli altınların alım satımıdır. Dosyaya konu işlemlerde şirket, ilan ettiği kurdan kasadan efektif olarak [veya Tebliğ’in 23. maddesi uyarınca şirkete ait alım satım hesabı üzerinden ve işlemi yapan müşterinin kendisiyle] döviz satmış veya müşteriden döviz satın almıştır. Bu işlemlerde şirket, bir kişiden diğerine para aktarılmasına aracılık eden kişi değil, alım satım sözleşmesinin tarafıdır. Para nakline aracılık suçu, bahisle bağlantılı bir para hareketinin taşınmasına veya aktarılmasına aracılık edilmesini gerektirir. Şirketin işlem kayıtları, [dosyaya konu işlemlerde bedelin işlemi yapan müşteri dışında bir kişiye aktarılmadığını] göstermektedir.</w:t>
      </w:r>
    </w:p>
    <w:p>
      <w:pPr>
        <w:spacing w:after="160"/>
        <w:jc w:val="both"/>
      </w:pPr>
      <w:r>
        <w:rPr>
          <w:b w:val="0"/>
        </w:rPr>
        <w:t>2. Her işlem belgeli ve kimlik kayıtlıdır; gizleme veya meşru görünüm kazandırma maksadı yoktur (TCK m.282/1; 32 sayılı Karar m.23; Tebliğ m.20/1-b, 20/6, 26/1)</w:t>
      </w:r>
    </w:p>
    <w:p>
      <w:pPr>
        <w:spacing w:after="160"/>
        <w:jc w:val="both"/>
      </w:pPr>
      <w:r>
        <w:rPr>
          <w:b w:val="0"/>
        </w:rPr>
        <w:t>Aklama suçu, suç gelirinin gayrimeşru kaynağını gizlemek veya meşru yolla elde edildiği konusunda kanaat uyandırmak maksadıyla işlem yapılmasını gerektirir. Dosyaya konu [●] işlemin her biri için döviz alım veya satım belgesi düzenlenmiş, eşiği aşan işlemlerde müşterinin kimlik numarası kimlik belgesi üzerinden kontrol edilerek kayda geçirilmiş ve işlemler kamera ile kayıt altına alınmıştır. Müşterinin kimliğini kayda geçiren, belgeyi düzenleyen ve işlemi görüntüyle saklayan bir işletmenin bu işlemlerle bir paranın kaynağını gizlediğinden söz edilemez. Aksine bu kayıtlar, soruşturmanın işlemleri yapan kişilere ulaşmasını mümkün kılan belgelerdir.</w:t>
      </w:r>
    </w:p>
    <w:p>
      <w:pPr>
        <w:spacing w:after="160"/>
        <w:jc w:val="both"/>
      </w:pPr>
      <w:r>
        <w:rPr>
          <w:b w:val="0"/>
        </w:rPr>
        <w:t>3. Müvekkil paranın bahisle veya başka bir suçla bağlantısını bilmemektedir; kast unsuru oluşmamıştır (TCK m.21/1-2, 282/2; 7258 s.K. m.5/1-c; 5549 s.K. m.3)</w:t>
      </w:r>
    </w:p>
    <w:p>
      <w:pPr>
        <w:spacing w:after="160"/>
        <w:jc w:val="both"/>
      </w:pPr>
      <w:r>
        <w:rPr>
          <w:b w:val="0"/>
        </w:rPr>
        <w:t>Suçun oluşması kastın varlığına bağlıdır. Para nakline aracılık suçunda paranın bahisle bağlantılı olduğunun, aklama suçunun ikinci fıkrasında ise malvarlığı değerinin suçtan kaynaklandığının bilinmesi gerekir. Müvekkil, işlemi yapan müşterilerin bahisle ilişkisini bilmemektedir; işlemler müşterilerin kendi kimlikleriyle, [●] tarihleri arasında ve [●] TL ile [●] TL arasında değişen tutarlarda yapılmıştır. Dosyada [müvekkilin bahis ağıyla görüştüğüne, bir pay veya komisyon aldığına ya da ilan edilen kurdan farklı bir bedel uyguladığına] dair bir delil bulunmamaktadır. Dosyada müvekkilin bu bağlantıyı öngördüğünü gösteren bir olgu da bulunmadığından olası kast da söz konusu değildir. Şirket ayrıca 5549 sayılı Kanun’dan doğan kimlik tespiti ve kayıt yükümlülüklerini yerine getirmiştir; bu kayıtlar dilekçe ekinde sunulmuştur.</w:t>
      </w:r>
    </w:p>
    <w:p>
      <w:pPr>
        <w:spacing w:after="160"/>
        <w:jc w:val="both"/>
      </w:pPr>
      <w:r>
        <w:rPr>
          <w:b w:val="0"/>
        </w:rPr>
        <w:t>4. Müvekkilin lehine olan delillerin toplanması gerekmektedir (CMK m.63/1, 3; 160/2)</w:t>
      </w:r>
    </w:p>
    <w:p>
      <w:pPr>
        <w:spacing w:after="160"/>
        <w:jc w:val="both"/>
      </w:pPr>
      <w:r>
        <w:rPr>
          <w:b w:val="0"/>
        </w:rPr>
        <w:t>Cumhuriyet savcısı, şüphelinin lehine ve aleyhine olan delilleri toplamakla yükümlüdür. Müvekkilin savunmasını doğrulayacak deliller şirket kayıtlarında ve kamu kurumlarında bulunmaktadır: dosyaya konu tarihlere ait kamera kayıtları ve yedekleri, döviz alım ve satım belgeleri, müşteri kimlik kayıtları, alım satım hesabının banka ekstreleri ve mutabakat kayıtları, Hazine ve Maliye Bakanlığının şirket hakkındaki denetim kayıtları. Bu kayıtların, işlemlerin olağan döviz alım satımı niteliğinde olup olmadığı ve el konulan değerlerin şirket stokuyla uyumu yönünden bilirkişi incelemesine tabi tutulması gerekmektedir.</w:t>
      </w:r>
    </w:p>
    <w:p>
      <w:pPr>
        <w:spacing w:after="160"/>
        <w:jc w:val="both"/>
      </w:pPr>
      <w:r>
        <w:rPr>
          <w:b w:val="0"/>
        </w:rPr>
        <w:t>5. El konulan kasa mevcudu şirketin işletme stokudur; muhafazasına gerek yoktur ve müsadere şartları oluşmamıştır (CMK m.123, 131/1; TCK m.54/1, 55/1; 7258 s.K. m.5/2)</w:t>
      </w:r>
    </w:p>
    <w:p>
      <w:pPr>
        <w:spacing w:after="160"/>
        <w:jc w:val="both"/>
      </w:pPr>
      <w:r>
        <w:rPr>
          <w:b w:val="0"/>
        </w:rPr>
        <w:t>El konulan değerlerin kıymeti tespit edilmiş ve tutanağa geçirilmiştir. Bu değerlerin ispat aracı olarak muhafazasına gerek kalmamıştır; işlemler belge ve kayıtlarla ispat edilebilir. 7258 sayılı Kanun, bahis oyunlarının oynanmasına tahsis edilen veya oynanmasında kullanılan ya da suçun konusunu oluşturan eşya ile bu oyunların oynanması için ortaya konulan veya oynanması suretiyle elde edilen malvarlığı değerlerinin müsaderesini öngörür. El konulan döviz ve altın ise şirketin günlük alım satım faaliyeti için tuttuğu işletme stokudur ve bu kategorilerin hiçbirine girmemektedir; kasa giriş ve çıkış kayıtları ile alım ve satım belgeleri bu değerlerin kaynağını göstermektedir. El koymanın sürmesi, şirketin olağan alım satım faaliyetini sürdürmesini güçleştirmektedir. Kabul anlamına gelmemek kaydıyla, aksi kanaat hâlinde dahi, kasa mevcuduna ilişkin el koymanın soruşturma konusu işlemlerle ilişkilendirilen [●] TL karşılığı değerle sınırlandırılması ve bakiyenin iadesi gerekir.</w:t>
      </w:r>
    </w:p>
    <w:p>
      <w:pPr>
        <w:spacing w:after="160"/>
        <w:jc w:val="left"/>
      </w:pPr>
      <w:r>
        <w:rPr>
          <w:b/>
        </w:rPr>
        <w:t>DELİLLER</w:t>
      </w:r>
    </w:p>
    <w:p>
      <w:pPr>
        <w:spacing w:after="160"/>
        <w:jc w:val="both"/>
      </w:pPr>
      <w:r>
        <w:rPr>
          <w:b w:val="0"/>
        </w:rPr>
        <w:t>Hazine ve Maliye Bakanlığı faaliyet izin belgesi; ticaret sicili kayıtları; dosyaya konu tarihlere ait döviz alım ve satım belgeleri; müşteri kimlik kayıtları; kamera kayıtları ve yedekleri; kasa giriş ve çıkış kayıtları; alım satım hesabının banka ekstreleri ve mutabakat kayıtları; arama, el koyma ve kasa sayım tutanakları; bilirkişi incelemesi ve her türlü yasal delil.</w:t>
      </w:r>
    </w:p>
    <w:p>
      <w:pPr>
        <w:spacing w:after="160"/>
        <w:jc w:val="left"/>
      </w:pPr>
      <w:r>
        <w:rPr>
          <w:b/>
        </w:rPr>
        <w:t>HUKUKİ SEBEPLER</w:t>
      </w:r>
    </w:p>
    <w:p>
      <w:pPr>
        <w:spacing w:after="160"/>
        <w:jc w:val="both"/>
      </w:pPr>
      <w:r>
        <w:rPr>
          <w:b w:val="0"/>
        </w:rPr>
        <w:t>5271 sayılı Ceza Muhakemesi Kanunu m.63, 123, 131, 160, 172; 5237 sayılı Türk Ceza Kanunu m.21, 54, 55, 282; 7258 sayılı Kanun m.5; 1567 sayılı Kanun m.4; 32 sayılı Karar m.23; 2018-32/45 sayılı Tebliğ m.4, 20, 26; 5549 sayılı Kanun m.3 ve ilgili mevzuat.</w:t>
      </w:r>
    </w:p>
    <w:p>
      <w:pPr>
        <w:spacing w:after="160"/>
        <w:jc w:val="left"/>
      </w:pPr>
      <w:r>
        <w:rPr>
          <w:b/>
        </w:rPr>
        <w:t>SONUÇ VE İSTEM</w:t>
      </w:r>
    </w:p>
    <w:p>
      <w:pPr>
        <w:spacing w:after="160"/>
        <w:jc w:val="left"/>
      </w:pPr>
      <w:r>
        <w:rPr>
          <w:b w:val="0"/>
        </w:rPr>
        <w:t>Açıklanan nedenlerle;</w:t>
        <w:br/>
      </w:r>
      <w:r>
        <w:rPr>
          <w:b w:val="0"/>
        </w:rPr>
        <w:t>1. Dosyaya konu tarihlere ait kamera kayıtları, döviz alım ve satım belgeleri, müşteri kimlik kayıtları, banka ekstreleri ve mutabakat kayıtları ile Hazine ve Maliye Bakanlığı denetim kayıtlarının dosyaya getirtilmesine ve bu kayıtlar üzerinde bilirkişi incelemesi yaptırılmasına,</w:t>
        <w:br/>
      </w:r>
      <w:r>
        <w:rPr>
          <w:b w:val="0"/>
        </w:rPr>
        <w:t>2. El konulan kasa mevcudunun, muhafazasına gerek kalmadığından ve müsadereye tabi olmadığından şirkete iadesine,</w:t>
        <w:br/>
      </w:r>
      <w:r>
        <w:rPr>
          <w:b w:val="0"/>
        </w:rPr>
        <w:t>3. Müvekkil hakkında kovuşturmaya yer olmadığına karar verilmesine,</w:t>
        <w:br/>
      </w:r>
      <w:r>
        <w:rPr>
          <w:b w:val="0"/>
        </w:rPr>
        <w:t>4. Kabul anlamına gelmemek kaydıyla, aksi kanaat hâlinde, kasa mevcuduna ilişkin el koymanın soruşturma konusu işlemlerle ilişkilendirilen değerle sınırlandırılarak bakiyenin şirkete iadesine,</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Şüpheli vekâletnamesi; şirket vekâletnamesi ve imza sirküleri; faaliyet izin belgesi; ticaret sicili kayıtları; işlem belgeleri ve kimlik kayıtları; kamera kayıtlarını içeren veri ortamı; banka ekstreleri; kasa kayıtları.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