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 SULH CEZA HÂKİMLİĞİNE</w:t>
      </w:r>
    </w:p>
    <w:p>
      <w:pPr>
        <w:spacing w:after="160"/>
        <w:jc w:val="left"/>
      </w:pPr>
      <w:r>
        <w:rPr>
          <w:b w:val="0"/>
        </w:rPr>
        <w:t>SORUŞTURMA NO: [●] Cumhuriyet Başsavcılığı [●]</w:t>
        <w:br/>
      </w:r>
      <w:r>
        <w:rPr>
          <w:b w:val="0"/>
        </w:rPr>
        <w:t>ELKOYMA KARARI: [●] Sulh Ceza Hâkimliğinin [●] tarihli ve [●] değişik iş sayılı kararı</w:t>
        <w:br/>
      </w:r>
      <w:r>
        <w:rPr>
          <w:b w:val="0"/>
        </w:rPr>
        <w:t>İTİRAZ EDEN (MALİK): [Ad Soyad], T.C. Kimlik No: [●], [adres]</w:t>
        <w:br/>
      </w:r>
      <w:r>
        <w:rPr>
          <w:b w:val="0"/>
        </w:rPr>
        <w:t>VEKİLİ: Av. [Ad Soyad], [●] Barosu, sicil no [●], [adres]</w:t>
        <w:br/>
      </w:r>
      <w:r>
        <w:rPr>
          <w:b w:val="0"/>
        </w:rPr>
        <w:t>ŞÜPHELİ: [Ad Soyad]</w:t>
        <w:br/>
      </w:r>
      <w:r>
        <w:rPr>
          <w:b w:val="0"/>
        </w:rPr>
        <w:t>KONU: Müvekkile ait [●] plakalı araç hakkındaki el koyma kararının kaldırılması ve aracın müvekkile iadesi talebimizin sunulmasıdır. Kararı müvekkil [●] tarihinde öğrenmiştir.</w:t>
      </w:r>
    </w:p>
    <w:p>
      <w:pPr>
        <w:spacing w:after="160"/>
        <w:jc w:val="left"/>
      </w:pPr>
      <w:r>
        <w:rPr>
          <w:b/>
        </w:rPr>
        <w:t>AÇIKLAMALAR</w:t>
      </w:r>
    </w:p>
    <w:p>
      <w:pPr>
        <w:spacing w:after="160"/>
        <w:jc w:val="both"/>
      </w:pPr>
      <w:r>
        <w:rPr>
          <w:b w:val="0"/>
        </w:rPr>
        <w:t>Müvekkil, [●] plakalı [marka, model, yıl] aracı [●] tarihinde [●] noterliğinde düzenlenen satış sözleşmesiyle şüpheli [Ad Soyad]’dan [●] TL bedelle satın almış, bedeli aynı gün [●] bankası nezdindeki hesabından şüphelinin hesabına havale etmiştir. Araç aynı tarihte müvekkil adına tescil edilmiş ve o tarihten bu yana müvekkil tarafından kullanılmaktadır. Şüpheli hakkında yasa dışı bahis soruşturması kapsamında [●] tarihinde operasyon yapılmış, hâkimliğinizin [●] tarihli kararıyla şüpheliye ait olduğu ve son iki yıl içinde devredildiği belirtilen araçlar hakkında el koyma kararı verilmiş, müvekkilin aracı da bu karar gerekçe gösterilerek [●] tarihinde kolluk tarafından muhafaza altına alınmıştır. Müvekkilin şüpheliyle akrabalık, ortaklık veya iş ilişkisi bulunmamaktadır; aracı [●] adlı internet ilan sitesindeki ilan üzerine bulmuştur. Kararın müvekkile ait araç bakımından kaldırılmasını gerektiren hususlar aşağıda sırasıyla açıklanmıştır.</w:t>
      </w:r>
    </w:p>
    <w:p>
      <w:pPr>
        <w:spacing w:after="160"/>
        <w:jc w:val="both"/>
      </w:pPr>
      <w:r>
        <w:rPr>
          <w:b w:val="0"/>
        </w:rPr>
        <w:t>1. Araç şüpheliye ait değildir; el koyma için kanunun aradığı şart gerçekleşmemiştir (CMK m.128/1)</w:t>
      </w:r>
    </w:p>
    <w:p>
      <w:pPr>
        <w:spacing w:after="160"/>
        <w:jc w:val="both"/>
      </w:pPr>
      <w:r>
        <w:rPr>
          <w:b w:val="0"/>
        </w:rPr>
        <w:t>Taşınmazlara, ulaşım araçlarına ve diğer malvarlığı değerlerine el koyma, suçun işlendiğine ve malın bu suçtan elde edildiğine dair somut delillere dayanan kuvvetli şüphe bulunması hâlinde şüpheli veya sanığa ait mallar hakkında verilebilir. Araç, el koyma kararından [●] ay önce noter satışıyla müvekkile devredilmiş ve müvekkil adına tescil edilmiştir. Kanundaki zilyetlik cümlesi şüpheliye ait bir malın başkasının elinde bulunduğu hâli düzenler; satış yoluyla mülkiyeti müvekkile geçmiş bir araç bu kapsamda değildir. Kararda satışın gerçek olmadığına dair somut bir olgu gösterilmemiştir; bedelin banka kanalıyla ödenmiş olması ve aracın müvekkil tarafından fiilen kullanılması satışın gerçek olduğunu göstermektedir.</w:t>
      </w:r>
    </w:p>
    <w:p>
      <w:pPr>
        <w:spacing w:after="160"/>
        <w:jc w:val="both"/>
      </w:pPr>
      <w:r>
        <w:rPr>
          <w:b w:val="0"/>
        </w:rPr>
        <w:t>2. Müvekkil aracı iyiniyetle edinmiştir; müsadere edilemeyecek bir mal hakkında koruma tedbiri sürdürülemez (TCK m.54/1, 55/3)</w:t>
      </w:r>
    </w:p>
    <w:p>
      <w:pPr>
        <w:spacing w:after="160"/>
        <w:jc w:val="both"/>
      </w:pPr>
      <w:r>
        <w:rPr>
          <w:b w:val="0"/>
        </w:rPr>
        <w:t>Kazanç müsaderesine konu eşyanın müsadere edilebilmesi için, eşyayı sonradan edinen kişinin Türk Medeni Kanunu’nun iyiniyetin korunmasına ilişkin hükümlerinden yararlanamıyor olması gerekir; eşya müsaderesi de iyiniyetli üçüncü kişilere ait eşya hakkında verilemez. Aracın şüpheliye bahis geliriyle alınmış olduğu varsayılsa bile, müvekkilin iyiniyetli edinimi karşısında müsadere kararı verilmesi kanunen mümkün değildir. El koyma, müsadereyi güvence altına almaya yönelik bir koruma tedbiridir; müsadere edilemeyecek bir mal bakımından bu tedbirin amacı ortadan kalkmıştır.</w:t>
      </w:r>
    </w:p>
    <w:p>
      <w:pPr>
        <w:spacing w:after="160"/>
        <w:jc w:val="both"/>
      </w:pPr>
      <w:r>
        <w:rPr>
          <w:b w:val="0"/>
        </w:rPr>
        <w:t>3. İyiniyet asıldır ve müvekkil beklenen özeni göstermiştir (TMK m.3)</w:t>
      </w:r>
    </w:p>
    <w:p>
      <w:pPr>
        <w:spacing w:after="160"/>
        <w:jc w:val="both"/>
      </w:pPr>
      <w:r>
        <w:rPr>
          <w:b w:val="0"/>
        </w:rPr>
        <w:t>Kanunun iyiniyete hukuki sonuç bağladığı durumlarda asıl olan iyiniyetin varlığıdır. Müvekkil aracı açık bir ilan üzerinden bulmuş, rayiç değere uygun bir bedel ödemiş, bedeli banka kanalıyla göndermiş ve satışı noterde yapmıştır. Satış tarihinde araç sicilinde herhangi bir el koyma şerhi bulunmamaktadır; şerh, satıştan [●] ay sonra işlenmiştir. Müvekkilin şüpheli hakkındaki soruşturmadan haberdar olduğuna dair dosyada bir olgu yoktur. Bu koşullarda müvekkilden beklenebilecek özen gösterilmiş olup iyiniyet karinesini çürüten bir durum bulunmamaktadır.</w:t>
      </w:r>
    </w:p>
    <w:p>
      <w:pPr>
        <w:spacing w:after="160"/>
        <w:jc w:val="both"/>
      </w:pPr>
      <w:r>
        <w:rPr>
          <w:b w:val="0"/>
        </w:rPr>
        <w:t>4. Devletin müsadere menfaati satış bedeli üzerinden korunabilir; müvekkilin aracına uygulanan tedbir ölçüsüzdür (TCK m.55/2; Anayasa m.13, 35)</w:t>
      </w:r>
    </w:p>
    <w:p>
      <w:pPr>
        <w:spacing w:after="160"/>
        <w:jc w:val="both"/>
      </w:pPr>
      <w:r>
        <w:rPr>
          <w:b w:val="0"/>
        </w:rPr>
        <w:t>Müsadere konusu malvarlığına el konulamadığı hâllerde bunun karşılığını oluşturan değerlerin müsaderesine hükmedilir. Müvekkilin ödediği [●] TL satış bedeli şüphelinin hesabına geçmiştir ve soruşturma makamı gerekli görürse bu değere yönelik tedbire başvurabilir. Mülkiyet hakkı ancak kanunla ve ölçülülük ilkesine uygun olarak sınırlanabilir. Bedelini ödediği aracı kullanamayan müvekkilin uğradığı kayıp, soruşturmanın amacına bir katkı sağlamadığı gibi, devletin menfaatini koruyan başka bir yol da bulunduğundan tedbirin müvekkil bakımından sürdürülmesi ölçülü değildir.</w:t>
      </w:r>
    </w:p>
    <w:p>
      <w:pPr>
        <w:spacing w:after="160"/>
        <w:jc w:val="both"/>
      </w:pPr>
      <w:r>
        <w:rPr>
          <w:b w:val="0"/>
        </w:rPr>
        <w:t>5. Müvekkil hakkında bir suç şüphesi bulunmamaktadır (TCK m.21, 165, 282/2)</w:t>
      </w:r>
    </w:p>
    <w:p>
      <w:pPr>
        <w:spacing w:after="160"/>
        <w:jc w:val="both"/>
      </w:pPr>
      <w:r>
        <w:rPr>
          <w:b w:val="0"/>
        </w:rPr>
        <w:t>Suç eşyasını satın alma ve aklama konusu malvarlığı değerini edinme suçları ancak kastla işlenebilir; aklama bakımından kanun ayrıca malın bu özelliğinin bilinmesini aramaktadır. Müvekkil bu soruşturmada şüpheli sıfatıyla dinlenmemiştir ve aracın kaynağını bildiğine dair hiçbir delil bulunmamaktadır. Müvekkil, satışın koşullarına ilişkin belgeleri ekte sunmakta olup gerekli görülmesi hâlinde tanık sıfatıyla beyanda bulunmaya hazırdır.</w:t>
      </w:r>
    </w:p>
    <w:p>
      <w:pPr>
        <w:spacing w:after="160"/>
        <w:jc w:val="both"/>
      </w:pPr>
      <w:r>
        <w:rPr>
          <w:b w:val="0"/>
        </w:rPr>
        <w:t>6. El koyma kaldırılmalı ve araç müvekkile iade edilmelidir (CMK m.127/4, 131/1, 132/5, 268)</w:t>
      </w:r>
    </w:p>
    <w:p>
      <w:pPr>
        <w:spacing w:after="160"/>
        <w:jc w:val="both"/>
      </w:pPr>
      <w:r>
        <w:rPr>
          <w:b w:val="0"/>
        </w:rPr>
        <w:t>Zilyetliğindeki malvarlığına el konulan kişi hâkimden her zaman karar verilmesini isteyebilir; muhafazasına gerek kalmayan veya müsadere edilmeyeceği anlaşılan eşyanın geri verilmesine karar verilir. Araç delil niteliği taşımamaktadır ve yukarıda açıklanan nedenlerle müsadere edilmesi mümkün değildir. Bu nedenle el koymanın müvekkile ait araç bakımından kaldırılması gerekmektedir. Kabul anlamına gelmemek kaydıyla, hâkimliğinizin aksi kanaatte olması hâlinde aracın bakım ve gözetiminin sağlanması ve istendiğinde derhâl iade edilmesi koşuluyla muhafaza edilmek üzere müvekkile teslimine karar verilmesini talep ederiz.</w:t>
      </w:r>
    </w:p>
    <w:p>
      <w:pPr>
        <w:spacing w:after="160"/>
        <w:jc w:val="left"/>
      </w:pPr>
      <w:r>
        <w:rPr>
          <w:b/>
        </w:rPr>
        <w:t>DELİLLER</w:t>
      </w:r>
    </w:p>
    <w:p>
      <w:pPr>
        <w:spacing w:after="160"/>
        <w:jc w:val="both"/>
      </w:pPr>
      <w:r>
        <w:rPr>
          <w:b w:val="0"/>
        </w:rPr>
        <w:t>Noter satış sözleşmesi; banka havale dekontu; araç tescil belgesi ve sicil kaydı; ilan çıktısı; aracın satış tarihindeki rayiç değerini gösteren ekspertiz veya ilan örnekleri; sigorta poliçeleri ve bakım kayıtları; el koyma tutanağı; tanık beyanları ve her türlü yasal delil.</w:t>
      </w:r>
    </w:p>
    <w:p>
      <w:pPr>
        <w:spacing w:after="160"/>
        <w:jc w:val="left"/>
      </w:pPr>
      <w:r>
        <w:rPr>
          <w:b/>
        </w:rPr>
        <w:t>HUKUKİ SEBEPLER</w:t>
      </w:r>
    </w:p>
    <w:p>
      <w:pPr>
        <w:spacing w:after="160"/>
        <w:jc w:val="both"/>
      </w:pPr>
      <w:r>
        <w:rPr>
          <w:b w:val="0"/>
        </w:rPr>
        <w:t>Anayasa m.13, 35; 5271 sayılı Ceza Muhakemesi Kanunu m.127, 128, 131, 132, 268; 5237 sayılı Türk Ceza Kanunu m.21, 54, 55, 165, 282; 4721 sayılı Türk Medeni Kanunu m.3; 7258 sayılı Kanun m.5 ve ilgili mevzuat.</w:t>
      </w:r>
    </w:p>
    <w:p>
      <w:pPr>
        <w:spacing w:after="160"/>
        <w:jc w:val="left"/>
      </w:pPr>
      <w:r>
        <w:rPr>
          <w:b/>
        </w:rPr>
        <w:t>SONUÇ VE İSTEM</w:t>
      </w:r>
    </w:p>
    <w:p>
      <w:pPr>
        <w:spacing w:after="160"/>
        <w:jc w:val="left"/>
      </w:pPr>
      <w:r>
        <w:rPr>
          <w:b w:val="0"/>
        </w:rPr>
        <w:t>Açıklanan nedenlerle;</w:t>
        <w:br/>
      </w:r>
      <w:r>
        <w:rPr>
          <w:b w:val="0"/>
        </w:rPr>
        <w:t>1. Hâkimliğinizin [●] tarihli el koyma kararının müvekkile ait [●] plakalı araç bakımından kaldırılmasına, araç sicilindeki şerhin terkinine ve aracın müvekkile iadesine,</w:t>
        <w:br/>
      </w:r>
      <w:r>
        <w:rPr>
          <w:b w:val="0"/>
        </w:rPr>
        <w:t>2. Kabul anlamına gelmemek kaydıyla, aksi kanaat hâlinde aracın muhafaza edilmek üzere müvekkile teslimine,</w:t>
        <w:br/>
      </w:r>
      <w:r>
        <w:rPr>
          <w:b w:val="0"/>
        </w:rPr>
        <w:t>3. İtirazın yerinde görülmemesi hâlinde dosyanın itirazı incelemeye yetkili mercie gönderilmesine,</w:t>
        <w:br/>
      </w:r>
      <w:r>
        <w:rPr>
          <w:b w:val="0"/>
        </w:rPr>
        <w:t>karar verilmesini saygılarımızla arz ve talep ederiz.</w:t>
      </w:r>
    </w:p>
    <w:p>
      <w:pPr>
        <w:spacing w:after="160"/>
        <w:jc w:val="left"/>
      </w:pPr>
      <w:r>
        <w:rPr>
          <w:b w:val="0"/>
        </w:rPr>
        <w:t>[Tarih]</w:t>
        <w:br/>
      </w:r>
      <w:r>
        <w:rPr>
          <w:b w:val="0"/>
        </w:rPr>
        <w:t>İtiraz Eden Vekili</w:t>
        <w:br/>
      </w:r>
      <w:r>
        <w:rPr>
          <w:b w:val="0"/>
        </w:rPr>
        <w:t>Av. [Ad Soyad]</w:t>
        <w:br/>
      </w:r>
      <w:r>
        <w:rPr>
          <w:b w:val="0"/>
        </w:rPr>
        <w:t>[e-imza]</w:t>
      </w:r>
    </w:p>
    <w:p>
      <w:pPr>
        <w:spacing w:after="160"/>
        <w:jc w:val="both"/>
      </w:pPr>
      <w:r>
        <w:rPr>
          <w:b w:val="0"/>
        </w:rPr>
        <w:t>EKLER: Vekâletname; noter satış sözleşmesi; dekont; tescil belgesi; ilan ve rayiç değer belgeleri; el koyma tutanağı.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