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CUMHURİYET BAŞSAVCILIĞINA</w:t>
      </w:r>
    </w:p>
    <w:p>
      <w:pPr>
        <w:spacing w:after="160"/>
        <w:jc w:val="left"/>
      </w:pPr>
      <w:r>
        <w:rPr>
          <w:b w:val="0"/>
        </w:rPr>
        <w:t>SORUŞTURMA NO: [●]</w:t>
        <w:br/>
      </w:r>
      <w:r>
        <w:rPr>
          <w:b w:val="0"/>
        </w:rPr>
        <w:t>ŞÜPHELİ: [Ad Soyad], serbest muhasebeci mali müşavir, [●] Serbest Muhasebeci Mali Müşavirler Odası sicil no [●], T.C. Kimlik No: [●], [adres]</w:t>
        <w:br/>
      </w:r>
      <w:r>
        <w:rPr>
          <w:b w:val="0"/>
        </w:rPr>
        <w:t>MÜDAFİİ: Av. [Ad Soyad], [●] Barosu, sicil no [●], [adres]</w:t>
        <w:br/>
      </w:r>
      <w:r>
        <w:rPr>
          <w:b w:val="0"/>
        </w:rPr>
        <w:t>İSNAT: 7258 sayılı Kanun m.5/1-a ve c, 5237 sayılı Türk Ceza Kanunu m.220 ve 282</w:t>
        <w:br/>
      </w:r>
      <w:r>
        <w:rPr>
          <w:b w:val="0"/>
        </w:rPr>
        <w:t>KONU: Müvekkil hakkında yürütülen soruşturmada savunmalarımızın ve delil toplanmasına ilişkin taleplerimizin sunulması ile kovuşturmaya yer olmadığına karar verilmesi talebimizdir.</w:t>
      </w:r>
    </w:p>
    <w:p>
      <w:pPr>
        <w:spacing w:after="160"/>
        <w:jc w:val="left"/>
      </w:pPr>
      <w:r>
        <w:rPr>
          <w:b/>
        </w:rPr>
        <w:t>AÇIKLAMALAR</w:t>
      </w:r>
    </w:p>
    <w:p>
      <w:pPr>
        <w:spacing w:after="160"/>
        <w:jc w:val="both"/>
      </w:pPr>
      <w:r>
        <w:rPr>
          <w:b w:val="0"/>
        </w:rPr>
        <w:t>Müvekkil [●] yılından bu yana [●] ilinde bir işverene bağlı olmaksızın serbest muhasebeci mali müşavir olarak çalışmaktadır. Soruşturmada şüpheli olarak gösterilen [Şirket Unvanı] ile müvekkil arasında [●] tarihli mali müşavirlik hizmet sözleşmesi bulunmakta olup müvekkilin bu şirkete verdiği hizmet; şirketin ilettiği belgelere dayanarak defterlerin tutulması, vergi beyannamelerinin ve bordroların düzenlenmesi ile bildirimlerin yapılmasından ibarettir. [●] tarihinde yapılan operasyonda şirket hesaplarına yasa dışı bahis tahsilatı girdiği ileri sürülmüş, müvekkilin bürosunda arama yapılarak [●] adet klasör ile [●] adet bilgisayar ve harici belleğe el konulmuş, müvekkilin [●] tarihinde şüpheli sıfatıyla ifadesi alınmıştır. Müvekkil hakkında kamu davası açılması için yeterli şüphe bulunmadığını gösteren hususlar aşağıda sırasıyla açıklanmıştır.</w:t>
      </w:r>
    </w:p>
    <w:p>
      <w:pPr>
        <w:spacing w:after="160"/>
        <w:jc w:val="both"/>
      </w:pPr>
      <w:r>
        <w:rPr>
          <w:b w:val="0"/>
        </w:rPr>
        <w:t>1. Müvekkilin görevi kanunla belirlenmiştir; şirketin hesapları ve tahsilatı müvekkilin tasarrufunda değildir (3568 sayılı Kanun m.2/A)</w:t>
      </w:r>
    </w:p>
    <w:p>
      <w:pPr>
        <w:spacing w:after="160"/>
        <w:jc w:val="both"/>
      </w:pPr>
      <w:r>
        <w:rPr>
          <w:b w:val="0"/>
        </w:rPr>
        <w:t>Mesleğin konusu, işletmelerin defterlerini mevzuata uygun olarak tutmak, beyanname ve diğer belgelerini düzenlemek ve bu konularda müşavirlik yapmaktır. Müvekkil şirketin hiçbir banka hesabında imza yetkilisi değildir; internet bankacılığı kullanıcı adı ve şifresi müvekkile verilmemiştir; şirketin hangi kişilerden ne amaçla tahsilat yapacağına veya hangi hesaba ödeme yapacağına ilişkin bir talimat vermemiştir. Müvekkilin defterlere işlediği kayıtlar, şirketin dönem sonunda müvekkile ilettiği banka ekstreleri, faturalar ve beyanlar üzerine yapılmıştır. Kayıt altına alınan bir hareketin kaynağının sonradan suç geliri olduğunun ileri sürülmesi, o hareketi deftere işleyen meslek mensubunu bu harekete katılmış hâle getirmez.</w:t>
      </w:r>
    </w:p>
    <w:p>
      <w:pPr>
        <w:spacing w:after="160"/>
        <w:jc w:val="both"/>
      </w:pPr>
      <w:r>
        <w:rPr>
          <w:b w:val="0"/>
        </w:rPr>
        <w:t>2. Bahis suçlarının ve yardım etmenin manevi unsuru oluşmamıştır (7258 sayılı Kanun m.5; TCK m.21, 22/1, 39, 40/1)</w:t>
      </w:r>
    </w:p>
    <w:p>
      <w:pPr>
        <w:spacing w:after="160"/>
        <w:jc w:val="both"/>
      </w:pPr>
      <w:r>
        <w:rPr>
          <w:b w:val="0"/>
        </w:rPr>
        <w:t>Kast, suçun kanuni tanımındaki unsurların bilerek ve istenerek gerçekleştirilmesidir; bahis suçlarının taksirli hâli kanunda öngörülmemiştir. Yardım eden olarak sorumluluk, kasten işlenmiş bir asıl fiili ve yardım edenin kastının bu asıl fiili de kapsamasını gerektirir. Müvekkilin şirketin bahis faaliyetine ilişkin bilgisi olduğunu gösteren hiçbir yazışma, tanık beyanı veya iletişim kaydı dosyada bulunmamaktadır. Müvekkilin bu şirketten aldığı ücret, aynı büyüklükteki diğer mükelleflerden aldığı ücretle aynıdır; müvekkil olağan mesleki ilişki dışında bir menfaat elde etmemiştir.</w:t>
      </w:r>
    </w:p>
    <w:p>
      <w:pPr>
        <w:spacing w:after="160"/>
        <w:jc w:val="both"/>
      </w:pPr>
      <w:r>
        <w:rPr>
          <w:b w:val="0"/>
        </w:rPr>
        <w:t>3. Aklama suçunun maksat unsuru ve bilme şartı gerçekleşmemiştir; kanun aklamanın taksirle işlenmesini cezalandırmamaktadır (TCK m.22/1, 282/1-2)</w:t>
      </w:r>
    </w:p>
    <w:p>
      <w:pPr>
        <w:spacing w:after="160"/>
        <w:jc w:val="both"/>
      </w:pPr>
      <w:r>
        <w:rPr>
          <w:b w:val="0"/>
        </w:rPr>
        <w:t>Aklama suçu, suç gelirinin gayrimeşru kaynağını gizlemek veya meşru bir yolla elde edildiği konusunda kanaat uyandırmak maksadıyla işlemlere tabi tutulmasını ya da bu malvarlığının bu özelliği bilinerek kabul edilmesini cezalandırır. Taksirle işlenen fiiller ancak kanunun açıkça belirttiği hâllerde cezalandırılır; aklamanın taksirli hâli bulunmamaktadır. Müvekkil hesap hareketlerini belgelerine uygun olarak deftere işlemiş, hiçbir harekete gerçek dışı bir açıklama veya karşılık kaydı eklememiştir. Bir hareketi gerçek mahiyetiyle kayda almak, kaynağını gizlemenin tam tersidir. Müvekkilin aldığı mesleki ücretin suç gelirinden ödendiğini bildiğine dair bir delil de bulunmadığından ikinci fıkradaki suç da oluşmamıştır.</w:t>
      </w:r>
    </w:p>
    <w:p>
      <w:pPr>
        <w:spacing w:after="160"/>
        <w:jc w:val="both"/>
      </w:pPr>
      <w:r>
        <w:rPr>
          <w:b w:val="0"/>
        </w:rPr>
        <w:t>4. Meslek artırımı ve kamu görevlisine ilişkin hükümler, unsurları oluşmuş bir suçu varsayar (TCK m.282/3; 3568 sayılı Kanun m.47)</w:t>
      </w:r>
    </w:p>
    <w:p>
      <w:pPr>
        <w:spacing w:after="160"/>
        <w:jc w:val="both"/>
      </w:pPr>
      <w:r>
        <w:rPr>
          <w:b w:val="0"/>
        </w:rPr>
        <w:t>Kanun, aklama suçunun belli bir meslek sahibi kişi tarafından bu mesleğin icrası sırasında işlenmesini cezayı artıran bir hâl olarak düzenlemiş; meslek mensuplarının görevleri sırasında veya görevleri sebebiyle işledikleri suçlarda kamu görevlilerine ait hükümlerin uygulanacağını öngörmüştür. Bu hükümler bir suç tanımı içermez, unsurları oluşmuş bir suçun cezasının belirlenmesine ilişkindir. Müvekkilin mali müşavir olması kast ve maksat unsurlarının yokluğunu gidermez; meslek sıfatı şüphenin gerekçesi olamaz.</w:t>
      </w:r>
    </w:p>
    <w:p>
      <w:pPr>
        <w:spacing w:after="160"/>
        <w:jc w:val="both"/>
      </w:pPr>
      <w:r>
        <w:rPr>
          <w:b w:val="0"/>
        </w:rPr>
        <w:t>5. Örgüt üyeliğinin ve örgüte yardımın unsurları gerçekleşmemiştir (TCK m.220/2, 220/7)</w:t>
      </w:r>
    </w:p>
    <w:p>
      <w:pPr>
        <w:spacing w:after="160"/>
        <w:jc w:val="both"/>
      </w:pPr>
      <w:r>
        <w:rPr>
          <w:b w:val="0"/>
        </w:rPr>
        <w:t>Örgüt üyeliği ve hiyerarşik yapıya dahil olmadan örgüte yardım, örgütün varlığının ve suç işleme amacının bilinmesini, yardım bakımından ise kanunun açık ifadesiyle bilerek ve isteyerek hareket edilmesini gerektirir. Müvekkil [●] mükellefe hizmet veren bir meslek mensubudur; şirketle ilişkisi sözleşmedeki mesleki hizmetle sınırlıdır ve diğer şüphelilerle mesleki yazışmalar dışında bir iletişimi, örgüt içinde bir görevi veya faaliyete katkısı dosyada gösterilmemiştir.</w:t>
      </w:r>
    </w:p>
    <w:p>
      <w:pPr>
        <w:spacing w:after="160"/>
        <w:jc w:val="both"/>
      </w:pPr>
      <w:r>
        <w:rPr>
          <w:b w:val="0"/>
        </w:rPr>
        <w:t>6. Müvekkil 5549 sayılı Kanun kapsamındaki yükümlülüklerini yerine getirmiştir; ileri sürülebilecek bir eksiklik de suç değil, idari yaptırım konusudur (5549 sayılı Kanun m.3, 4, 10, 13, 14)</w:t>
      </w:r>
    </w:p>
    <w:p>
      <w:pPr>
        <w:spacing w:after="160"/>
        <w:jc w:val="both"/>
      </w:pPr>
      <w:r>
        <w:rPr>
          <w:b w:val="0"/>
        </w:rPr>
        <w:t>Müvekkil şirketle iş ilişkisi kurmadan önce şirketin ve yetkililerinin kimlik tespitini yapmış, ticaret sicil kayıtlarını, imza sirkülerini ve ortaklık yapısını gösteren belgeleri almıştır; bu belgeler ekte sunulmaktadır. Kanun şüpheli işlem bildirimi yükümlülüğünün ihlalini idari para cezasına bağlamış, hapis cezası öngördüğü hâlleri ise bildirimin açıklanması, bilgi ve belge vermeme ve muhafaza ve ibraz yükümlülüğüne aykırılık olarak ayrıca saymıştır. Bu nedenle bir bildirim eksikliği ileri sürülse dahi bundan bahis suçlarına veya aklamaya iştirak sonucu çıkarılamaz. Yükümlülüğünü yerine getiren hukuki ve cezai bakımdan sorumlu tutulamaz. Müvekkilin Başkanlığa yaptığı bildirimlere ilişkin bilgiler, kanunun açıklama yasağı nedeniyle bu dilekçede yer almamakta olup bu konudaki kayıtların Mali Suçları Araştırma Kurulu Başkanlığından istenmesini talep ederiz.</w:t>
      </w:r>
    </w:p>
    <w:p>
      <w:pPr>
        <w:spacing w:after="160"/>
        <w:jc w:val="both"/>
      </w:pPr>
      <w:r>
        <w:rPr>
          <w:b w:val="0"/>
        </w:rPr>
        <w:t>7. Soruşturmayla ilgisi bulunmayan mükelleflere ait kayıtlar iade edilmeli ve dijital verilerin kopyası verilmelidir (CMK m.123/1, 131/1, 134/4)</w:t>
      </w:r>
    </w:p>
    <w:p>
      <w:pPr>
        <w:spacing w:after="160"/>
        <w:jc w:val="both"/>
      </w:pPr>
      <w:r>
        <w:rPr>
          <w:b w:val="0"/>
        </w:rPr>
        <w:t>El koyma, ispat aracı olarak yararlı görülen veya müsadereye konu olan şeylerle sınırlıdır. Büroda el konulan kayıtların büyük bölümü soruşturmayla ilgisi bulunmayan [●] mükellefe aittir; bu mükelleflerin beyan yükümlülükleri sürmekte, müvekkil de kayıtları sekiz yıl saklamakla yükümlüdür. Bu kayıtların iadesine ve bilgisayar kayıtlarının yedeğinden bir kopyanın müdafiliğimize verilmesine karar verilmesi gerekmektedir.</w:t>
      </w:r>
    </w:p>
    <w:p>
      <w:pPr>
        <w:spacing w:after="160"/>
        <w:jc w:val="left"/>
      </w:pPr>
      <w:r>
        <w:rPr>
          <w:b/>
        </w:rPr>
        <w:t>DELİLLER</w:t>
      </w:r>
    </w:p>
    <w:p>
      <w:pPr>
        <w:spacing w:after="160"/>
        <w:jc w:val="both"/>
      </w:pPr>
      <w:r>
        <w:rPr>
          <w:b w:val="0"/>
        </w:rPr>
        <w:t>Mali müşavirlik hizmet sözleşmesi; oda kayıt belgesi ve ruhsat; şirkete ilişkin kimlik tespit belgeleri, ticaret sicil kayıtları ve imza sirkülerleri; bankalardan getirtilecek hesap imza yetkilisi ve internet bankacılığı erişim kayıtları; müvekkilin diğer mükelleflerine ilişkin ücret tarifesi ve faturalar; şirkete gönderilen e-posta ve yazışmalar; el koyma ve arama tutanakları; tanık beyanları, bilirkişi incelemesi ve her türlü yasal delil.</w:t>
      </w:r>
    </w:p>
    <w:p>
      <w:pPr>
        <w:spacing w:after="160"/>
        <w:jc w:val="left"/>
      </w:pPr>
      <w:r>
        <w:rPr>
          <w:b/>
        </w:rPr>
        <w:t>HUKUKİ SEBEPLER</w:t>
      </w:r>
    </w:p>
    <w:p>
      <w:pPr>
        <w:spacing w:after="160"/>
        <w:jc w:val="both"/>
      </w:pPr>
      <w:r>
        <w:rPr>
          <w:b w:val="0"/>
        </w:rPr>
        <w:t>Anayasa m.38; 5271 sayılı Ceza Muhakemesi Kanunu m.63, 123, 131, 134, 147, 160, 172; 5237 sayılı Türk Ceza Kanunu m.20, 21, 22, 39, 40, 220, 282; 7258 sayılı Kanun m.5; 5549 sayılı Kanun m.3, 4, 10, 13, 14; 3568 sayılı Kanun m.2, 43, 47 ve ilgili mevzuat.</w:t>
      </w:r>
    </w:p>
    <w:p>
      <w:pPr>
        <w:spacing w:after="160"/>
        <w:jc w:val="left"/>
      </w:pPr>
      <w:r>
        <w:rPr>
          <w:b/>
        </w:rPr>
        <w:t>SONUÇ VE İSTEM</w:t>
      </w:r>
    </w:p>
    <w:p>
      <w:pPr>
        <w:spacing w:after="160"/>
        <w:jc w:val="left"/>
      </w:pPr>
      <w:r>
        <w:rPr>
          <w:b w:val="0"/>
        </w:rPr>
        <w:t>Açıklanan nedenlerle;</w:t>
        <w:br/>
      </w:r>
      <w:r>
        <w:rPr>
          <w:b w:val="0"/>
        </w:rPr>
        <w:t>1. Müvekkil hakkında kamu davası açılması için yeterli şüphe oluşturacak delil bulunmadığından kovuşturmaya yer olmadığına,</w:t>
        <w:br/>
      </w:r>
      <w:r>
        <w:rPr>
          <w:b w:val="0"/>
        </w:rPr>
        <w:t>2. Soruşturmayla ilgisi bulunmayan mükelleflere ait defter, belge ve kayıtların müvekkile iadesine, bilgisayar kayıtlarının yedeğinden bir kopyanın müdafiliğimize verilmesine,</w:t>
        <w:br/>
      </w:r>
      <w:r>
        <w:rPr>
          <w:b w:val="0"/>
        </w:rPr>
        <w:t>3. Şüphelinin lehine olan delillerin de toplanması yükümlülüğü gereğince, şirket hesaplarına ilişkin imza yetkilisi ve internet bankacılığı erişim kayıtlarının bankalardan, müvekkilin bildirimlerine ilişkin kayıtların Mali Suçları Araştırma Kurulu Başkanlığından istenmesine,</w:t>
        <w:br/>
      </w:r>
      <w:r>
        <w:rPr>
          <w:b w:val="0"/>
        </w:rPr>
        <w:t>4. Kabul anlamına gelmemek kaydıyla, aksi kanaat hâlinde, müvekkilin kayıtlarının mevzuata ve belgelere uygunluğu hususunda bilirkişi incelemesi yaptırılmasına,</w:t>
        <w:br/>
      </w:r>
      <w:r>
        <w:rPr>
          <w:b w:val="0"/>
        </w:rPr>
        <w:t>karar verilmesini saygılarımızla arz ve talep ederiz.</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Vekâletname; mali müşavirlik hizmet sözleşmesi; oda kayıt belgesi; kimlik tespit belgeleri ve ticaret sicil kayıtları; ücret tarifesi ve faturalar; arama ve el koyma tutanakları.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