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w:t>
        <w:br/>
      </w:r>
      <w:r>
        <w:rPr>
          <w:b w:val="0"/>
        </w:rPr>
        <w:t>ŞÜPHELİ: [Ad Soyad], T.C. Kimlik No: [●], [adres]</w:t>
        <w:br/>
      </w:r>
      <w:r>
        <w:rPr>
          <w:b w:val="0"/>
        </w:rPr>
        <w:t>MÜDAFİİ: Av. [Ad Soyad], [●] Barosu, sicil no [●]</w:t>
      </w:r>
    </w:p>
    <w:p>
      <w:pPr>
        <w:spacing w:after="160"/>
        <w:jc w:val="both"/>
      </w:pPr>
      <w:r>
        <w:rPr>
          <w:b w:val="0"/>
        </w:rPr>
        <w:t>KONU: Şüphelinin Başsavcılığınıza gönüllü olarak başvurduğunun ve verdiği bilgilerin tespiti ile hakkında kovuşturmaya yer olmadığına karar verilmesi, aksi kanaat hâlinde TCK m.221/4 ve m.282/6 hükümlerinin değerlendirilmesi talebidir.</w:t>
      </w:r>
    </w:p>
    <w:p>
      <w:pPr>
        <w:spacing w:after="160"/>
        <w:jc w:val="left"/>
      </w:pPr>
      <w:r>
        <w:rPr>
          <w:b/>
        </w:rPr>
        <w:t>AÇIKLAMALAR</w:t>
      </w:r>
    </w:p>
    <w:p>
      <w:pPr>
        <w:spacing w:after="160"/>
        <w:jc w:val="both"/>
      </w:pPr>
      <w:r>
        <w:rPr>
          <w:b w:val="0"/>
        </w:rPr>
        <w:t>Müvekkil, adına açılmış [●] Bankası hesabının yasa dışı bahis bağlantılı para hareketlerinde kullanıldığı iddiasıyla hakkında 7258 sayılı Kanun’a muhalefet, suç işlemek amacıyla kurulan örgüte üye olma ve suçtan kaynaklanan malvarlığı değerlerini aklama suçlarından soruşturma yürütüldüğünü [●] tarihinde öğrenmiştir. Müvekkil, hakkında herhangi bir yakalama veya gözaltı işlemi bulunmadan, bugün müdafii ile birlikte Başsavcılığınıza kendiliğinden başvurmakta ve ifadesinin alınmasını talep etmektedir. Müvekkil, hesabın kimin talebiyle açıldığını, kimler tarafından ve hangi araçlarla kullanıldığını bildiği ölçüde ifadesinde anlatacak; hesaba ilişkin erişim bilgileri, [●] kripto varlık hizmet sağlayıcısındaki hesabının bilgileri ile hesabın kullanılmasını isteyen kişiyle yaptığı yazışmalar ekte sunulmaktadır.</w:t>
      </w:r>
    </w:p>
    <w:p>
      <w:pPr>
        <w:spacing w:after="160"/>
        <w:jc w:val="both"/>
      </w:pPr>
      <w:r>
        <w:rPr>
          <w:b w:val="0"/>
        </w:rPr>
        <w:t>1. Müvekkilin örgüt üyesi olduğunu gösteren somut delil bulunmamaktadır (TCK m.220/1-2)</w:t>
      </w:r>
    </w:p>
    <w:p>
      <w:pPr>
        <w:spacing w:after="160"/>
        <w:jc w:val="both"/>
      </w:pPr>
      <w:r>
        <w:rPr>
          <w:b w:val="0"/>
        </w:rPr>
        <w:t>Örgüt üyeliği suçu, kanunun suç saydığı fiilleri işlemek amacıyla kurulmuş ve yapısı, üye sayısı ile araç ve gereç bakımından amaç suçları işlemeye elverişli bir örgütün varlığını ve şüphelinin bu örgüte katıldığını gerektirir. Dosyada müvekkilin örgüt mensuplarıyla bağlantısını, örgüt içinde bir görev üstlendiğini veya örgütün faaliyetlerine katıldığını gösteren hiçbir somut delil yoktur. Dosyadaki tek olgu müvekkil adına açılmış hesaptaki para hareketleridir. Bir hesabın üçüncü kişilerce kullanılmış olması, hesap sahibinin örgüte katıldığını tek başına göstermez; bu olgu üzerinden üyelik isnadı kurulması suçun kanuni unsurlarıyla bağdaşmaz.</w:t>
      </w:r>
    </w:p>
    <w:p>
      <w:pPr>
        <w:spacing w:after="160"/>
        <w:jc w:val="both"/>
      </w:pPr>
      <w:r>
        <w:rPr>
          <w:b w:val="0"/>
        </w:rPr>
        <w:t>2. Aklama suçunun unsurları oluşmamıştır (TCK m.282/1)</w:t>
      </w:r>
    </w:p>
    <w:p>
      <w:pPr>
        <w:spacing w:after="160"/>
        <w:jc w:val="both"/>
      </w:pPr>
      <w:r>
        <w:rPr>
          <w:b w:val="0"/>
        </w:rPr>
        <w:t>Aklama suçu, suçtan kaynaklanan malvarlığı değerlerinin yurt dışına çıkarılmasını ya da gayrimeşru kaynağının gizlenmesi veya meşru yolla elde edildiği konusunda kanaat uyandırılması maksadıyla çeşitli işlemlere tâbi tutulmasını gerektirir. Hesaba gelen paraların başka hesaplara aktarılması işlemlerini müvekkil gerçekleştirmemiştir ve bu işlemlerin kaynağı gizleme maksadıyla müvekkil tarafından yapıldığına dair bir delil yoktur. Kaldı ki hesap bilgilerinin müvekkil tarafından soruşturma makamına kendiliğinden sunulması, gizleme maksadının bulunmadığını açıkça gösterir.</w:t>
      </w:r>
    </w:p>
    <w:p>
      <w:pPr>
        <w:spacing w:after="160"/>
        <w:jc w:val="both"/>
      </w:pPr>
      <w:r>
        <w:rPr>
          <w:b w:val="0"/>
        </w:rPr>
        <w:t>3. Müvekkilin bahis suçu bakımından kastı bulunmamaktadır (7258 s.K. m.5/1-c; TCK m.21/1)</w:t>
      </w:r>
    </w:p>
    <w:p>
      <w:pPr>
        <w:spacing w:after="160"/>
        <w:jc w:val="both"/>
      </w:pPr>
      <w:r>
        <w:rPr>
          <w:b w:val="0"/>
        </w:rPr>
        <w:t>Bahis veya şans oyunlarıyla bağlantılı olarak para nakline aracılık suçu ancak kasten işlenebilir; kast, suçun kanuni tanımındaki unsurların bilerek ve istenerek gerçekleştirilmesidir. Müvekkil, hesabının bahis bağlantılı para hareketlerinde kullanıldığını bilmemiş, bunu öğrenir öğrenmez hesabı kapatmak için bankaya başvurmuş ve Başsavcılığınıza kendiliğinden gelmiştir. Bu davranışlar, suçun manevi unsurunun bulunmadığını gösteren olgular olarak değerlendirilmelidir. Bu nedenle müvekkil hakkında kovuşturmaya yer olmadığına karar verilmesi gerekir.</w:t>
      </w:r>
    </w:p>
    <w:p>
      <w:pPr>
        <w:spacing w:after="160"/>
        <w:jc w:val="both"/>
      </w:pPr>
      <w:r>
        <w:rPr>
          <w:b w:val="0"/>
        </w:rPr>
        <w:t>4. Aksi kanaat hâlinde, müvekkilin gönüllü başvurusu ve verdiği bilgiler TCK m.221/4 kapsamında değerlendirilmelidir (CMK m.171/1)</w:t>
      </w:r>
    </w:p>
    <w:p>
      <w:pPr>
        <w:spacing w:after="160"/>
        <w:jc w:val="both"/>
      </w:pPr>
      <w:r>
        <w:rPr>
          <w:b w:val="0"/>
        </w:rPr>
        <w:t>Kabul anlamına gelmemek kaydıyla, Başsavcılığınızca müvekkilin örgüte üye olduğu veya örgüte yardım ettiği kanaatine varılması hâlinde; müvekkil hakkında yakalama işlemi yapılmadan gönüllü olarak Başsavcılığınıza gelmiş ve hesabın kullanımıyla ilgili bildiklerini anlatmaktadır. Örgüte üye olan ya da örgüte bilerek ve isteyerek yardım eden kişinin gönüllü olarak teslim olup örgütün yapısı ve faaliyeti çerçevesinde işlenen suçlarla ilgili bilgi vermesi hâlinde hakkında örgüt suçundan cezaya hükmolunmaz. Cezayı kaldıran şahsi sebep olarak etkin pişmanlık hükümlerinin uygulanmasını gerektiren koşulların varlığı hâlinde Cumhuriyet savcısı kovuşturmaya yer olmadığı kararı verebilir. Bu nedenle başvurunun tarihi ve saati, yakalama işleminden önce yapıldığı ve verilen bilgilerin içeriği ifade tutanağına açıkça geçirilmelidir.</w:t>
      </w:r>
    </w:p>
    <w:p>
      <w:pPr>
        <w:spacing w:after="160"/>
        <w:jc w:val="both"/>
      </w:pPr>
      <w:r>
        <w:rPr>
          <w:b w:val="0"/>
        </w:rPr>
        <w:t>5. Aksi kanaat hâlinde, hesaplardaki değerlerin ele geçirilmesinin sağlandığı TCK m.282/6 kapsamında değerlendirilmelidir</w:t>
      </w:r>
    </w:p>
    <w:p>
      <w:pPr>
        <w:spacing w:after="160"/>
        <w:jc w:val="both"/>
      </w:pPr>
      <w:r>
        <w:rPr>
          <w:b w:val="0"/>
        </w:rPr>
        <w:t>Kabul anlamına gelmemek kaydıyla, hesaba gelen paraların aklama suçunun konusu olduğu kabul edilse dahi; müvekkil kovuşturma başlamadan önce hesapların erişim bilgilerini ve değerlerin bulunduğu yeri Başsavcılığınıza bildirmekte, bu değerlerin ele geçirilmesini sağlamaktadır. Bu suç nedeniyle kovuşturma başlamadan önce suç konusu malvarlığı değerlerinin ele geçirilmesini sağlayan veya bulunduğu yeri haber vererek ele geçirilmesini kolaylaştıran kişi hakkında aklama suçundan cezaya hükmolunmaz.</w:t>
      </w:r>
    </w:p>
    <w:p>
      <w:pPr>
        <w:spacing w:after="160"/>
        <w:jc w:val="both"/>
      </w:pPr>
      <w:r>
        <w:rPr>
          <w:b w:val="0"/>
        </w:rPr>
        <w:t>6. Müvekkilin verdiği bilgiler TCK m.38/3 ve m.62/2 bakımından da kayda geçirilmelidir</w:t>
      </w:r>
    </w:p>
    <w:p>
      <w:pPr>
        <w:spacing w:after="160"/>
        <w:jc w:val="both"/>
      </w:pPr>
      <w:r>
        <w:rPr>
          <w:b w:val="0"/>
        </w:rPr>
        <w:t>Kabul anlamına gelmemek kaydıyla, müvekkilin hesabın kullanılmasını isteyen kişinin kimliğine, telefon numarasına ve yazışmalarına ilişkin olarak sunduğu bilgiler, azmettirenin kim olduğunun ortaya çıkmasını sağlamaya yöneliktir. Ayrıca müvekkilin kendiliğinden başvurusu ve iş birliği, fiilden sonraki pişmanlığı gösteren davranışlardır. Bu hususların soruşturma evrakında ve düzenlenmesi hâlinde iddianamede gösterilmesi, şüphelinin lehine olan hususların da ileri sürülmesi gereğinin sonucudur (CMK m.170/5).</w:t>
      </w:r>
    </w:p>
    <w:p>
      <w:pPr>
        <w:spacing w:after="160"/>
        <w:jc w:val="both"/>
      </w:pPr>
      <w:r>
        <w:rPr>
          <w:b w:val="0"/>
        </w:rPr>
        <w:t>7. Gönüllü başvuru karşısında tutuklama nedeni bulunmamaktadır (CMK m.100/2-a, m.101/2-d, m.109)</w:t>
      </w:r>
    </w:p>
    <w:p>
      <w:pPr>
        <w:spacing w:after="160"/>
        <w:jc w:val="both"/>
      </w:pPr>
      <w:r>
        <w:rPr>
          <w:b w:val="0"/>
        </w:rPr>
        <w:t>Müvekkil hakkında kaçma, saklanma veya kaçacağı şüphesini uyandıran hiçbir somut olgu yoktur; aksine müvekkil hakkında yakalama işlemi yapılmadan kendiliğinden Başsavcılığınıza gelmiştir. Müvekkilin [●] adresinde sabit ikametgâhı ve [●] işyerinde düzenli işi bulunmaktadır. Tutuklama talep edilmesi hâlinde adli kontrol uygulamasının yetersiz kalacağının somut olgularla gösterilmesi gerektiğinden, müvekkil hakkında tutuklama talep edilmemesi, gerekli görülmesi hâlinde adli kontrol tedbiriyle yetinilmesi gerekir.</w:t>
      </w:r>
    </w:p>
    <w:p>
      <w:pPr>
        <w:spacing w:after="160"/>
        <w:jc w:val="left"/>
      </w:pPr>
      <w:r>
        <w:rPr>
          <w:b/>
        </w:rPr>
        <w:t>SONUÇ VE İSTEM</w:t>
      </w:r>
    </w:p>
    <w:p>
      <w:pPr>
        <w:spacing w:after="160"/>
        <w:jc w:val="left"/>
      </w:pPr>
      <w:r>
        <w:rPr>
          <w:b w:val="0"/>
        </w:rPr>
        <w:t>Açıklanan nedenlerle;</w:t>
        <w:br/>
      </w:r>
      <w:r>
        <w:rPr>
          <w:b w:val="0"/>
        </w:rPr>
        <w:t>1. Müvekkilin [●] tarihinde saat [●] itibarıyla, hakkında yakalama işlemi yapılmadan Başsavcılığınıza gönüllü olarak başvurduğunun ve verdiği bilgilerin ifade tutanağına ve soruşturma evrakına geçirilmesine,</w:t>
        <w:br/>
      </w:r>
      <w:r>
        <w:rPr>
          <w:b w:val="0"/>
        </w:rPr>
        <w:t>2. Ekte sunulan hesap bilgileri ve yazışmaların soruşturma dosyasına alınmasına,</w:t>
        <w:br/>
      </w:r>
      <w:r>
        <w:rPr>
          <w:b w:val="0"/>
        </w:rPr>
        <w:t>3. Müvekkil hakkında örgüt üyeliği, aklama ve 7258 sayılı Kanun’a muhalefet suçlarından kovuşturmaya yer olmadığına karar verilmesine,</w:t>
        <w:br/>
      </w:r>
      <w:r>
        <w:rPr>
          <w:b w:val="0"/>
        </w:rPr>
        <w:t>4. Aksi kanaat hâlinde, kabul anlamına gelmemek kaydıyla, müvekkil hakkında TCK m.221/4 ve m.282/6 hükümlerinin uygulanmasına ve TCK m.38/3 ile m.62/2 kapsamındaki hususların soruşturma evrakında gösterilmesine,</w:t>
        <w:br/>
      </w:r>
      <w:r>
        <w:rPr>
          <w:b w:val="0"/>
        </w:rPr>
        <w:t>5. Müvekkil hakkında tutuklama talep edilmemesine,</w:t>
        <w:br/>
      </w:r>
      <w:r>
        <w:rPr>
          <w:b w:val="0"/>
        </w:rPr>
        <w:t>karar verilmesini saygılarımızla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hesaba ilişkin banka yazısı ve erişim bilgileri; kripto varlık hesabına ilişkin bilgiler; yazışma çıktıları; hesabın kapatılması için bankaya yapılan başvuru; ikametgâh ve işyeri belgeleri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