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br/>
      </w:r>
      <w:r>
        <w:rPr>
          <w:b/>
        </w:rPr>
        <w:t>(Çocuk Bürosu)</w:t>
      </w:r>
    </w:p>
    <w:p>
      <w:pPr>
        <w:spacing w:after="160"/>
        <w:jc w:val="left"/>
      </w:pPr>
      <w:r>
        <w:rPr>
          <w:b w:val="0"/>
        </w:rPr>
        <w:t>SORUŞTURMA NO: [●]</w:t>
        <w:br/>
      </w:r>
      <w:r>
        <w:rPr>
          <w:b w:val="0"/>
        </w:rPr>
        <w:t>ŞÜPHELİ ÇOCUK: [Ad Soyad], T.C. Kimlik No: [●], doğum tarihi: [●], [adres]</w:t>
        <w:br/>
      </w:r>
      <w:r>
        <w:rPr>
          <w:b w:val="0"/>
        </w:rPr>
        <w:t>VELİSİ: [Ad Soyad], [adres]</w:t>
        <w:br/>
      </w:r>
      <w:r>
        <w:rPr>
          <w:b w:val="0"/>
        </w:rPr>
        <w:t>MÜDAFİİ: Av. [Ad Soyad], [●] Barosu, sicil no [●]</w:t>
      </w:r>
    </w:p>
    <w:p>
      <w:pPr>
        <w:spacing w:after="160"/>
        <w:jc w:val="both"/>
      </w:pPr>
      <w:r>
        <w:rPr>
          <w:b w:val="0"/>
        </w:rPr>
        <w:t>KONU: Şüpheli çocuk hakkında sosyal inceleme yaptırılması, soruşturmanın yetişkin şüphelilerden ayrı yürütülmesi, tutuklama talep edilmemesi ve kovuşturmaya yer olmadığına karar verilmesi talebidir.</w:t>
      </w:r>
    </w:p>
    <w:p>
      <w:pPr>
        <w:spacing w:after="160"/>
        <w:jc w:val="left"/>
      </w:pPr>
      <w:r>
        <w:rPr>
          <w:b/>
        </w:rPr>
        <w:t>AÇIKLAMALAR</w:t>
      </w:r>
    </w:p>
    <w:p>
      <w:pPr>
        <w:spacing w:after="160"/>
        <w:jc w:val="both"/>
      </w:pPr>
      <w:r>
        <w:rPr>
          <w:b w:val="0"/>
        </w:rPr>
        <w:t>Müvekkil çocuk adına velisinin onayıyla [●] kuruluşunda açılan hesabın [●] ile [●] tarihleri arasında yasa dışı bahis bağlantılı para hareketlerinde kullanıldığı iddiasıyla, çocuk hakkında 7258 sayılı Kanun’un 5 inci maddesinin birinci fıkrasının (c) bendi uyarınca soruşturma yürütülmektedir. Müvekkil, hesap hareketlerinin başladığı tarihte on dört yaşındadır. Hesabın erişim bilgileri, müvekkilin çevresinden tanıdığı ve on sekiz yaşını doldurmuş olan [●] tarafından “harçlık karşılığı kısa süre kullanılacağı” söylenerek alınmış; hesaba gelen ve hesaptan çıkan paraların tamamı bu kişinin kullandığı cihazlardan gerçekleştirilmiştir. Bu kişiyle yapılan yazışmalar ve hesabın oturum kayıtlarına ilişkin kuruluş yazısı ekte sunulmaktadır.</w:t>
      </w:r>
    </w:p>
    <w:p>
      <w:pPr>
        <w:spacing w:after="160"/>
        <w:jc w:val="both"/>
      </w:pPr>
      <w:r>
        <w:rPr>
          <w:b w:val="0"/>
        </w:rPr>
        <w:t>1. Müvekkil hakkında sosyal inceleme yaptırılması zorunludur (5395 s.K. m.35/1, 35/3; TCK m.31/2)</w:t>
      </w:r>
    </w:p>
    <w:p>
      <w:pPr>
        <w:spacing w:after="160"/>
        <w:jc w:val="both"/>
      </w:pPr>
      <w:r>
        <w:rPr>
          <w:b w:val="0"/>
        </w:rPr>
        <w:t>Müvekkil fiil tarihinde on iki yaşını doldurmuş, ancak on beş yaşını doldurmamıştır. Bu yaş grubundaki çocuğun ceza sorumluluğu, işlediği fiilin hukuki anlam ve sonuçlarını algılama ve davranışlarını yönlendirme yeteneğinin varlığına bağlıdır. On beş yaşını doldurmamış çocuk hakkında sosyal inceleme yaptırılması zorunludur ve bu rapor, söz konusu yeteneğin takdirinde göz önünde bulundurulur. Sosyal inceleme yaptırılmaksızın düzenlenecek iddianamenin iadesi gerekeceğinden (CMK m.174/1-e), raporun soruşturma evresinde alınması ve gerekirse çocuğun algılama ve yönlendirme yeteneğine ilişkin ayrıca rapor aldırılması gerekir.</w:t>
      </w:r>
    </w:p>
    <w:p>
      <w:pPr>
        <w:spacing w:after="160"/>
        <w:jc w:val="both"/>
      </w:pPr>
      <w:r>
        <w:rPr>
          <w:b w:val="0"/>
        </w:rPr>
        <w:t>2. Müvekkilin kastı bulunmamaktadır; müvekkil bir yetişkin tarafından araç olarak kullanılmıştır (7258 s.K. m.5/1-c; TCK m.21/1, m.37/2)</w:t>
      </w:r>
    </w:p>
    <w:p>
      <w:pPr>
        <w:spacing w:after="160"/>
        <w:jc w:val="both"/>
      </w:pPr>
      <w:r>
        <w:rPr>
          <w:b w:val="0"/>
        </w:rPr>
        <w:t>Para nakline aracılık suçu ancak kasten işlenebilir. Müvekkil, hesabının bahis bağlantılı para hareketlerinde kullanılacağını bilmemiş; hesaba hangi kaynaktan para geldiğini ve paranın kimlere gönderildiğini görmemiştir. Para hareketlerinin tamamı hesabı kullanan yetişkinin cihazlarından yapılmış olup bu durum ekteki oturum kayıtlarıyla sabittir. Suçun işlenmesinde başkasını araç olarak kullanan kişi fail olarak sorumlu olur. Dosyadaki olgular, müvekkilin bu yetişkin tarafından araç olarak kullanıldığını göstermektedir. Bu nedenle müvekkil bakımından suçun manevi unsuru oluşmamıştır.</w:t>
      </w:r>
    </w:p>
    <w:p>
      <w:pPr>
        <w:spacing w:after="160"/>
        <w:jc w:val="both"/>
      </w:pPr>
      <w:r>
        <w:rPr>
          <w:b w:val="0"/>
        </w:rPr>
        <w:t>3. Müvekkilin ceza sorumluluğu bulunmamaktadır (TCK m.31/2; 5395 s.K. m.5/A/1)</w:t>
      </w:r>
    </w:p>
    <w:p>
      <w:pPr>
        <w:spacing w:after="160"/>
        <w:jc w:val="both"/>
      </w:pPr>
      <w:r>
        <w:rPr>
          <w:b w:val="0"/>
        </w:rPr>
        <w:t>Müvekkilin yaşı, eğitim durumu ve sosyal çevresi gözetildiğinde, bir hesabın üçüncü kişiye kullandırılmasının hukuki anlam ve sonuçlarını algılayabilecek ve davranışlarını buna göre yönlendirebilecek gelişmişlikte olmadığı anlaşılmaktadır. Sosyal inceleme raporuyla bu hususun tespiti hâlinde müvekkilin ceza sorumluluğu bulunmadığından, hakkında kovuşturmaya yer olmadığına karar verilmesi gerekir. Bu durumda çocuğun yararı gözetilerek yalnızca kanunda öngörülen çocuklara özgü tedbirler değerlendirilebilir.</w:t>
      </w:r>
    </w:p>
    <w:p>
      <w:pPr>
        <w:spacing w:after="160"/>
        <w:jc w:val="both"/>
      </w:pPr>
      <w:r>
        <w:rPr>
          <w:b w:val="0"/>
        </w:rPr>
        <w:t>4. Soruşturma yetişkin şüphelilerden ayrı yürütülmeli ve çocuğun kimliği korunmalıdır (5395 s.K. m.4/1-l, m.15/1, m.17/1)</w:t>
      </w:r>
    </w:p>
    <w:p>
      <w:pPr>
        <w:spacing w:after="160"/>
        <w:jc w:val="both"/>
      </w:pPr>
      <w:r>
        <w:rPr>
          <w:b w:val="0"/>
        </w:rPr>
        <w:t>Çocukların yetişkinlerle birlikte suç işlediği iddia edilen hâllerde soruşturma ayrı yürütülür ve adli süreçteki çocuk hakkındaki soruşturma çocuk bürosunda görevli Cumhuriyet savcısı tarafından bizzat yapılır. Bu nedenle müvekkil hakkındaki işlemlerin hesabı kullanan yetişkin ve diğer şüphelilerden ayrılması, çocuğun kimliğinin dosyaya erişen üçüncü kişilerce belirlenememesine yönelik önlemlerin alınması gerekir.</w:t>
      </w:r>
    </w:p>
    <w:p>
      <w:pPr>
        <w:spacing w:after="160"/>
        <w:jc w:val="both"/>
      </w:pPr>
      <w:r>
        <w:rPr>
          <w:b w:val="0"/>
        </w:rPr>
        <w:t>5. Müvekkil hakkında tutuklama kararı verilemez (5395 s.K. m.4/1-i, m.21)</w:t>
      </w:r>
    </w:p>
    <w:p>
      <w:pPr>
        <w:spacing w:after="160"/>
        <w:jc w:val="both"/>
      </w:pPr>
      <w:r>
        <w:rPr>
          <w:b w:val="0"/>
        </w:rPr>
        <w:t>On beş yaşını doldurmamış çocuklar hakkında üst sınırı beş yılı aşmayan hapis cezasını gerektiren fiillerinden dolayı tutuklama kararı verilemez. Müvekkile isnat edilen suçun üst sınırı beş yıl olduğundan, müvekkil hakkında tutuklama talep edilmesine kanunen imkân yoktur. Müvekkil velisinin yanında yaşamakta ve düzenli olarak [●] okuluna devam etmektedir; özgürlüğü kısıtlayıcı herhangi bir tedbire ihtiyaç bulunmamaktadır.</w:t>
      </w:r>
    </w:p>
    <w:p>
      <w:pPr>
        <w:spacing w:after="160"/>
        <w:jc w:val="both"/>
      </w:pPr>
      <w:r>
        <w:rPr>
          <w:b w:val="0"/>
        </w:rPr>
        <w:t>6. Aksi kanaat hâlinde, kamu davasının açılmasının ertelenmesi koşulları mevcuttur (5395 s.K. m.19; CMK m.171/2-3)</w:t>
      </w:r>
    </w:p>
    <w:p>
      <w:pPr>
        <w:spacing w:after="160"/>
        <w:jc w:val="both"/>
      </w:pPr>
      <w:r>
        <w:rPr>
          <w:b w:val="0"/>
        </w:rPr>
        <w:t>Kabul anlamına gelmemek kaydıyla, Başsavcılığınızca müvekkilin ceza sorumluluğunun bulunduğu kanaatine varılması hâlinde; on beş yaşını doldurmamış çocuklar bakımından kamu davasının açılmasının ertelenmesinde ceza üst sınırı beş yıl olarak uygulanır ve isnat edilen suç bu sınır içindedir. Müvekkil daha önce herhangi bir suçtan mahkûm olmamıştır, eylem bir örgüt faaliyeti çerçevesinde gerçekleşmemiştir ve kamunun Başsavcılığınızca tespit edilecek bir zararı bulunması hâlinde bu zarar velisi tarafından giderilecektir. Çocuklar bakımından erteleme süresi üç yıldır. Bu koşullar altında kamu davası açılmasının ertelenmesi, çocuğun eğitimine devam etmesi ve yeniden suça karışmaması bakımından kamu davası açılmasından daha yararlıdır.</w:t>
      </w:r>
    </w:p>
    <w:p>
      <w:pPr>
        <w:spacing w:after="160"/>
        <w:jc w:val="left"/>
      </w:pPr>
      <w:r>
        <w:rPr>
          <w:b/>
        </w:rPr>
        <w:t>SONUÇ VE İSTEM</w:t>
      </w:r>
    </w:p>
    <w:p>
      <w:pPr>
        <w:spacing w:after="160"/>
        <w:jc w:val="left"/>
      </w:pPr>
      <w:r>
        <w:rPr>
          <w:b w:val="0"/>
        </w:rPr>
        <w:t>Açıklanan nedenlerle;</w:t>
        <w:br/>
      </w:r>
      <w:r>
        <w:rPr>
          <w:b w:val="0"/>
        </w:rPr>
        <w:t>1. Müvekkil çocuk hakkında sosyal inceleme yaptırılmasına, gerekirse algılama ve yönlendirme yeteneğine ilişkin rapor alınmasına,</w:t>
        <w:br/>
      </w:r>
      <w:r>
        <w:rPr>
          <w:b w:val="0"/>
        </w:rPr>
        <w:t>2. Müvekkil hakkındaki soruşturmanın yetişkin şüphelilerden ayrı yürütülmesine ve çocuğun kimliğinin korunmasına yönelik önlemlerin alınmasına,</w:t>
        <w:br/>
      </w:r>
      <w:r>
        <w:rPr>
          <w:b w:val="0"/>
        </w:rPr>
        <w:t>3. Ekte sunulan yazışmalar ve oturum kayıtlarının soruşturma dosyasına alınmasına,</w:t>
        <w:br/>
      </w:r>
      <w:r>
        <w:rPr>
          <w:b w:val="0"/>
        </w:rPr>
        <w:t>4. Müvekkil hakkında tutuklama talep edilmemesine,</w:t>
        <w:br/>
      </w:r>
      <w:r>
        <w:rPr>
          <w:b w:val="0"/>
        </w:rPr>
        <w:t>5. Müvekkil hakkında kovuşturmaya yer olmadığına karar verilmesine,</w:t>
        <w:br/>
      </w:r>
      <w:r>
        <w:rPr>
          <w:b w:val="0"/>
        </w:rPr>
        <w:t>6. Aksi kanaat hâlinde, kabul anlamına gelmemek kaydıyla, müvekkil hakkında kamu davasının açılmasının ertelenmesine,</w:t>
        <w:br/>
      </w:r>
      <w:r>
        <w:rPr>
          <w:b w:val="0"/>
        </w:rPr>
        <w:t>karar verilmesini saygılarımızla talep ederiz.</w:t>
      </w:r>
    </w:p>
    <w:p>
      <w:pPr>
        <w:spacing w:after="160"/>
        <w:jc w:val="left"/>
      </w:pPr>
      <w:r>
        <w:rPr>
          <w:b w:val="0"/>
        </w:rPr>
        <w:t>[Tarih]</w:t>
        <w:br/>
      </w:r>
      <w:r>
        <w:rPr>
          <w:b w:val="0"/>
        </w:rPr>
        <w:t>Şüpheli Çocuk Müdafii</w:t>
        <w:br/>
      </w:r>
      <w:r>
        <w:rPr>
          <w:b w:val="0"/>
        </w:rPr>
        <w:t>Av. [Ad Soyad]</w:t>
        <w:br/>
      </w:r>
      <w:r>
        <w:rPr>
          <w:b w:val="0"/>
        </w:rPr>
        <w:t>[e-imza]</w:t>
      </w:r>
    </w:p>
    <w:p>
      <w:pPr>
        <w:spacing w:after="160"/>
        <w:jc w:val="both"/>
      </w:pPr>
      <w:r>
        <w:rPr>
          <w:b w:val="0"/>
        </w:rPr>
        <w:t>EKLER: Vekâletname; nüfus kayıt örneği; hesaba ilişkin kuruluş yazısı ve oturum kayıtları; yazışma çıktıları; okul belgesi; velinin ikametgâh belgesi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