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r>
    </w:p>
    <w:p>
      <w:pPr>
        <w:spacing w:after="160"/>
        <w:jc w:val="left"/>
      </w:pPr>
      <w:r>
        <w:rPr>
          <w:b w:val="0"/>
        </w:rPr>
        <w:t>SORUŞTURMA NO: 2026/[●]</w:t>
        <w:br/>
      </w:r>
      <w:r>
        <w:rPr>
          <w:b w:val="0"/>
        </w:rPr>
        <w:t>DEĞİŞİK İŞ NO: 2026/[●]</w:t>
        <w:br/>
      </w:r>
      <w:r>
        <w:rPr>
          <w:b w:val="0"/>
        </w:rPr>
        <w:t>ŞÜPHELİ: [Ad Soyad], T.C. Kimlik No: [●]</w:t>
        <w:br/>
      </w:r>
      <w:r>
        <w:rPr>
          <w:b w:val="0"/>
        </w:rPr>
        <w:t>MÜDAFİİ: Av. [Ad Soyad], [●] Barosu, sicil no [●]</w:t>
        <w:br/>
      </w:r>
      <w:r>
        <w:rPr>
          <w:b w:val="0"/>
        </w:rPr>
        <w:t>ADLİ KONTROL KARARI: [●] tarihli, yurt dışına çıkamamak ve haftada bir gün kolluğa başvurmak yükümlülükleri (CMK m.109/3-a, b)</w:t>
      </w:r>
    </w:p>
    <w:p>
      <w:pPr>
        <w:spacing w:after="160"/>
        <w:jc w:val="both"/>
      </w:pPr>
      <w:r>
        <w:rPr>
          <w:b w:val="0"/>
        </w:rPr>
        <w:t>KONU: Şüpheli hakkında uygulanan yurt dışına çıkış yasağının ve imza yükümlülüğünün kaldırılması, bu mümkün görülmezse [●] ile [●] tarihleri arasında yurt dışına çıkış yasağından geçici olarak muaf tutulması talebidir.</w:t>
      </w:r>
    </w:p>
    <w:p>
      <w:pPr>
        <w:spacing w:after="160"/>
        <w:jc w:val="left"/>
      </w:pPr>
      <w:r>
        <w:rPr>
          <w:b/>
        </w:rPr>
        <w:t>AÇIKLAMALAR</w:t>
      </w:r>
    </w:p>
    <w:p>
      <w:pPr>
        <w:spacing w:after="160"/>
        <w:jc w:val="both"/>
      </w:pPr>
      <w:r>
        <w:rPr>
          <w:b w:val="0"/>
        </w:rPr>
        <w:t>Müvekkil hakkında, adına kayıtlı banka hesabının yasa dışı bahis faaliyetiyle bağlantılı para hareketlerinde kullanıldığı iddiasıyla 7258 sayılı Kanun’un 5/1-c maddesine muhalefet isnadıyla soruşturma yürütülmektedir. Müvekkil [●] tarihinde gözaltına alınmış, sulh ceza hâkimliğince tutuklama talebi reddedilerek yurt dışına çıkamamak ve haftada bir gün kolluğa başvurmak şeklindeki adli kontrol yükümlülükleri uygulanmıştır. Aradan geçen [●] aylık süre boyunca müvekkil bu yükümlülüklere eksiksiz uymuştur (Ek-1). Müvekkil, isnat edilen suçu işlemediğini ifadesinde ayrıntılı olarak açıklamış ve lehine olan delillerin toplanmasını talep etmiştir.</w:t>
      </w:r>
    </w:p>
    <w:p>
      <w:pPr>
        <w:spacing w:after="160"/>
        <w:jc w:val="both"/>
      </w:pPr>
      <w:r>
        <w:rPr>
          <w:b w:val="0"/>
        </w:rPr>
        <w:t>1. Adli kontrol, tutuklama sebeplerinin varlığına bağlıdır; müvekkil bakımından kaçma şüphesini gösteren somut bir olgu bulunmamaktadır (CMK m.109/1, m.100/2-a)</w:t>
      </w:r>
    </w:p>
    <w:p>
      <w:pPr>
        <w:spacing w:after="160"/>
        <w:jc w:val="both"/>
      </w:pPr>
      <w:r>
        <w:rPr>
          <w:b w:val="0"/>
        </w:rPr>
        <w:t>Kanun, adli kontrolü tutuklama sebeplerinin varlığı hâlinde tutuklamanın yerine uygulanabilecek bir tedbir olarak düzenlemektedir. Müvekkil [●] yılından bu yana aynı adreste ailesiyle birlikte yaşamakta, [●] şirketinde düzenli olarak çalışmaktadır (Ek-2). Kendisi hakkındaki soruşturmayı öğrendiğinde kolluğa kendiliğinden giderek ifade vermiş, o tarihten bu yana yükümlülüklerinin hiçbirini aksatmamıştır. Müvekkilin kaçacağı veya saklanacağı şüphesini uyandıran somut bir olgu, kararda da dosyada da gösterilmemiştir.</w:t>
      </w:r>
    </w:p>
    <w:p>
      <w:pPr>
        <w:spacing w:after="160"/>
        <w:jc w:val="both"/>
      </w:pPr>
      <w:r>
        <w:rPr>
          <w:b w:val="0"/>
        </w:rPr>
        <w:t>2. Deliller toplanmıştır; delil karartma şüphesi kalmamıştır (CMK m.100/2-b, m.110/4)</w:t>
      </w:r>
    </w:p>
    <w:p>
      <w:pPr>
        <w:spacing w:after="160"/>
        <w:jc w:val="both"/>
      </w:pPr>
      <w:r>
        <w:rPr>
          <w:b w:val="0"/>
        </w:rPr>
        <w:t>Soruşturma kapsamında müvekkilin banka hesap hareketleri, hesaba erişim kayıtları ve diğer şüphelilerin ifadeleri dosyaya girmiş, müvekkilin telefonu incelenmiştir. Kararın verildiği tarihte henüz toplanmamış olan deliller artık dosyadadır ve müvekkilin bu delilleri etkileme imkânı bulunmamaktadır. Kanun, adli kontrolün devamının gerekip gerekmediğinin en geç dört aylık aralıklarla değerlendirilmesini öngörmektedir; bu değerlendirme, kararın verildiği andaki değil, bugünkü koşullara göre yapılmalıdır.</w:t>
      </w:r>
    </w:p>
    <w:p>
      <w:pPr>
        <w:spacing w:after="160"/>
        <w:jc w:val="both"/>
      </w:pPr>
      <w:r>
        <w:rPr>
          <w:b w:val="0"/>
        </w:rPr>
        <w:t>3. Yasağın devamı ölçülü değildir (Anayasa m.13, m.23; CMK m.110/A/1)</w:t>
      </w:r>
    </w:p>
    <w:p>
      <w:pPr>
        <w:spacing w:after="160"/>
        <w:jc w:val="both"/>
      </w:pPr>
      <w:r>
        <w:rPr>
          <w:b w:val="0"/>
        </w:rPr>
        <w:t>Vatandaşın yurt dışına çıkma hürriyeti ancak suç soruşturması sebebiyle ve hâkim kararıyla sınırlanabilir; bu sınırlama da ölçülülük ilkesine aykırı olamaz. Müvekkil, işvereninin yurt dışındaki müşterileriyle yürütülen satış faaliyetlerinden sorumludur ve görevinin gereği olarak düzenli yurt dışı seyahati yapması gerekmektedir (Ek-3). Yasağın devam etmesi, müvekkilin işini kaybetmesi sonucunu doğuracak niteliktedir. İsnadın niteliği, müvekkilin yerleşik hayatı ve soruşturmanın geldiği aşama birlikte değerlendirildiğinde, yurt dışı çıkış yasağının devamı ulaşılmak istenen amaçla orantılı değildir.</w:t>
      </w:r>
    </w:p>
    <w:p>
      <w:pPr>
        <w:spacing w:after="160"/>
        <w:jc w:val="both"/>
      </w:pPr>
      <w:r>
        <w:rPr>
          <w:b w:val="0"/>
        </w:rPr>
        <w:t>4. Yasak kaldırılmazsa, belirli bir seyahat için geçici muafiyet verilmesi mümkündür (CMK m.110/2, m.109/3-f)</w:t>
      </w:r>
    </w:p>
    <w:p>
      <w:pPr>
        <w:spacing w:after="160"/>
        <w:jc w:val="both"/>
      </w:pPr>
      <w:r>
        <w:rPr>
          <w:b w:val="0"/>
        </w:rPr>
        <w:t>Kanun, hâkime şüpheliyi adli kontrol yükümlülüklerinden bazılarına uymaktan geçici olarak muaf tutma yetkisi tanımaktadır. Müvekkilin [●] ile [●] tarihleri arasında [●] şehrinde yapılacak fuara katılması gerekmektedir; davet yazısı, otel rezervasyonu ve dönüş bileti Ek-4’te sunulmuştur. Hâkimliğinizce gerekli görülmesi hâlinde, müvekkilin dönüşünü güvence altına almak üzere belirlenecek bir güvence miktarını yatırmaya da hazır olduğunu bildiririz.</w:t>
      </w:r>
    </w:p>
    <w:p>
      <w:pPr>
        <w:spacing w:after="160"/>
        <w:jc w:val="left"/>
      </w:pPr>
      <w:r>
        <w:rPr>
          <w:b/>
        </w:rPr>
        <w:t>SONUÇ VE İSTEM</w:t>
      </w:r>
    </w:p>
    <w:p>
      <w:pPr>
        <w:spacing w:after="160"/>
        <w:jc w:val="left"/>
      </w:pPr>
      <w:r>
        <w:rPr>
          <w:b w:val="0"/>
        </w:rPr>
        <w:t>Açıklanan nedenlerle;</w:t>
        <w:br/>
      </w:r>
      <w:r>
        <w:rPr>
          <w:b w:val="0"/>
        </w:rPr>
        <w:t>1. Müvekkil hakkında uygulanan yurt dışına çıkış yasağı ile kolluğa başvurma yükümlülüğünün CMK m.111/1 uyarınca kaldırılmasına,</w:t>
        <w:br/>
      </w:r>
      <w:r>
        <w:rPr>
          <w:b w:val="0"/>
        </w:rPr>
        <w:t>2. Bu talep kabul görmezse, kolluğa başvurma yükümlülüğünün daha seyrek aralıklarla yerine getirilecek şekilde değiştirilmesine ve müvekkilin [●] ile [●] tarihleri arasında yurt dışına çıkış yasağından CMK m.110/2 uyarınca geçici olarak muaf tutulmasına</w:t>
        <w:br/>
      </w:r>
      <w:r>
        <w:rPr>
          <w:b w:val="0"/>
        </w:rPr>
        <w:t>karar verilmesini saygıyla arz ve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Ek-1 imza çizelgesi; Ek-2 ikametgâh ve işyeri belgeleri; Ek-3 işveren yazısı; Ek-4 fuar daveti, rezervasyon ve dönüş bileti;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