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AĞIR CEZA MAHKEMESİ BAŞKANLIĞINA</w:t>
      </w:r>
    </w:p>
    <w:p>
      <w:pPr>
        <w:spacing w:after="160"/>
        <w:jc w:val="left"/>
      </w:pPr>
      <w:r>
        <w:rPr>
          <w:b w:val="0"/>
        </w:rPr>
        <w:t>İSTEMDE BULUNAN: [Ad Soyad], T.C. Kimlik No: [●], [adres]</w:t>
        <w:br/>
      </w:r>
      <w:r>
        <w:rPr>
          <w:b w:val="0"/>
        </w:rPr>
        <w:t>VEKİLİ: Av. [Ad Soyad], [●] Barosu, sicil no [●]</w:t>
        <w:br/>
      </w:r>
      <w:r>
        <w:rPr>
          <w:b w:val="0"/>
        </w:rPr>
        <w:t>KARŞI TARAF: Hazine (Hazine ve Maliye Bakanlığı), [●] Defterdarlığı Muhakemat Müdürlüğü</w:t>
        <w:br/>
      </w:r>
      <w:r>
        <w:rPr>
          <w:b w:val="0"/>
        </w:rPr>
        <w:t>DAYANAK KARAR: [●] Cumhuriyet Başsavcılığının [●] soruşturma sayılı ve [●] tarihli kovuşturmaya yer olmadığına dair kararı (kesinleşme tarihi: [●]; kesinleşmenin tebliğ tarihi: [●])</w:t>
      </w:r>
    </w:p>
    <w:p>
      <w:pPr>
        <w:spacing w:after="160"/>
        <w:jc w:val="both"/>
      </w:pPr>
      <w:r>
        <w:rPr>
          <w:b w:val="0"/>
        </w:rPr>
        <w:t>KONU: Yasa dışı bahis soruşturmasında hesaplara ve araca el konulması, el konulan değerlerin korunmaması ve zamanında geri verilmemesi nedeniyle uğranılan maddi ve manevi zararın Devletten tahsili; gözaltı ve tutukluluk nedeniyle doğan istemin Tazminat Komisyonuna gönderilmesi talebidir.</w:t>
      </w:r>
    </w:p>
    <w:p>
      <w:pPr>
        <w:spacing w:after="160"/>
        <w:jc w:val="left"/>
      </w:pPr>
      <w:r>
        <w:rPr>
          <w:b/>
        </w:rPr>
        <w:t>AÇIKLAMALAR</w:t>
      </w:r>
    </w:p>
    <w:p>
      <w:pPr>
        <w:spacing w:after="160"/>
        <w:jc w:val="both"/>
      </w:pPr>
      <w:r>
        <w:rPr>
          <w:b w:val="0"/>
        </w:rPr>
        <w:t>Müvekkil, [●] tarihinde yapılan yasa dışı bahis operasyonunda gözaltına alınmış, [●] gün gözaltında kaldıktan sonra tutuklanmış ve [●] tarihinde tahliye edilmiştir. Soruşturma sırasında müvekkilin maaşının yattığı [●] Bankası nezdindeki hesabı ile adına kayıtlı [●] plakalı araca el konulmuştur. Soruşturma sonunda müvekkilin hesabının bahis faaliyetinde kullanıldığına dair delil bulunmadığı gerekçesiyle kovuşturmaya yer olmadığına karar verilmiş, karar [●] tarihinde kesinleşmiş ve kesinleştiği [●] tarihinde müvekkile tebliğ edilmiştir.</w:t>
      </w:r>
    </w:p>
    <w:p>
      <w:pPr>
        <w:spacing w:after="160"/>
        <w:jc w:val="both"/>
      </w:pPr>
      <w:r>
        <w:rPr>
          <w:b w:val="0"/>
        </w:rPr>
        <w:t>1. İstem süresindedir (CMK m.142/1)</w:t>
      </w:r>
    </w:p>
    <w:p>
      <w:pPr>
        <w:spacing w:after="160"/>
        <w:jc w:val="both"/>
      </w:pPr>
      <w:r>
        <w:rPr>
          <w:b w:val="0"/>
        </w:rPr>
        <w:t>Tazminat istemi, kararın kesinleştiğinin ilgilisine tebliğinden itibaren üç ay ve her hâlde kesinleşme tarihini izleyen bir yıl içinde yapılabilir. Kesinleşmenin tebliğ tarihi [●] olup istem bu süre içinde yapılmaktadır.</w:t>
      </w:r>
    </w:p>
    <w:p>
      <w:pPr>
        <w:spacing w:after="160"/>
        <w:jc w:val="both"/>
      </w:pPr>
      <w:r>
        <w:rPr>
          <w:b w:val="0"/>
        </w:rPr>
        <w:t>2. Müvekkilin maaş hesabına el koymanın kanuni koşulları oluşmamıştır (CMK m.141/1-j, m.128/1)</w:t>
      </w:r>
    </w:p>
    <w:p>
      <w:pPr>
        <w:spacing w:after="160"/>
        <w:jc w:val="both"/>
      </w:pPr>
      <w:r>
        <w:rPr>
          <w:b w:val="0"/>
        </w:rPr>
        <w:t>Hesaba el konulabilmesi için suçun işlendiğine ve el konulan değerin bu suçtan elde edildiğine dair somut delillere dayanan kuvvetli şüphe sebebi bulunması gerekir. El koyma kararında hesaba yalnızca işverenden maaş ödemesi girdiği, bahis bağlantılı olduğu ileri sürülen hiçbir işlemin bu hesapta gerçekleşmediği gözetilmemiş; kararda somut bir delil gösterilmemiştir. Koşulları oluşmadan yapılan bu el koyma nedeniyle müvekkil [●] ay boyunca maaşına ulaşamamıştır.</w:t>
      </w:r>
    </w:p>
    <w:p>
      <w:pPr>
        <w:spacing w:after="160"/>
        <w:jc w:val="both"/>
      </w:pPr>
      <w:r>
        <w:rPr>
          <w:b w:val="0"/>
        </w:rPr>
        <w:t>3. El konulan değerler zamanında geri verilmemiş ve araç korunmamıştır (CMK m.141/1-j, m.131/1)</w:t>
      </w:r>
    </w:p>
    <w:p>
      <w:pPr>
        <w:spacing w:after="160"/>
        <w:jc w:val="both"/>
      </w:pPr>
      <w:r>
        <w:rPr>
          <w:b w:val="0"/>
        </w:rPr>
        <w:t>Kovuşturmaya yer olmadığı kararıyla birlikte el konulan değerlerin muhafazasına gerek kalmamıştır. Buna rağmen [●] tarihli iade istemimize karşın hesap üzerindeki el koyma ancak [●] tarihinde kaldırılmış, araç ise [●] tarihinde teslim edilmiştir. Araç, yediemin otoparkında açık alanda bekletilmiş ve teslimde düzenlenen ekspertiz raporunda [●] TL hasar ve değer kaybı tespit edilmiştir. El konulan eşyanın korunması için gerekli tedbirlerin alınmaması ve zamanında geri verilmemesi, kanunda ayrıca tazminat sebebi olarak sayılmıştır.</w:t>
      </w:r>
    </w:p>
    <w:p>
      <w:pPr>
        <w:spacing w:after="160"/>
        <w:jc w:val="both"/>
      </w:pPr>
      <w:r>
        <w:rPr>
          <w:b w:val="0"/>
        </w:rPr>
        <w:t>4. Gözaltı ve tutukluluğa ilişkin istem Tazminat Komisyonuna gönderilmelidir (CMK m.141/1-e, m.142/2; 6384 s.K. m.2/3-b, m.5/B/2)</w:t>
      </w:r>
    </w:p>
    <w:p>
      <w:pPr>
        <w:spacing w:after="160"/>
        <w:jc w:val="both"/>
      </w:pPr>
      <w:r>
        <w:rPr>
          <w:b w:val="0"/>
        </w:rPr>
        <w:t>Kanuna uygun olarak yakalanıp tutuklandıktan sonra hakkında kovuşturmaya yer olmadığına karar verilen müvekkil, gözaltı ve tutuklulukta geçirdiği [●] gün için de tazminat isteme hakkına sahiptir. Bu istem 6384 sayılı Kanun kapsamında olduğundan, Mahkemenizce ayrılarak Tazminat Komisyonuna gönderilmesini ve kanun gereği Mahkemenize yapılan bu istem tarihinin esas alınmasını talep ediyoruz.</w:t>
      </w:r>
    </w:p>
    <w:p>
      <w:pPr>
        <w:spacing w:after="160"/>
        <w:jc w:val="both"/>
      </w:pPr>
      <w:r>
        <w:rPr>
          <w:b w:val="0"/>
        </w:rPr>
        <w:t>5. Müvekkilin maddi zararı belgelidir (CMK m.141/1, m.142/3, m.142/6)</w:t>
      </w:r>
    </w:p>
    <w:p>
      <w:pPr>
        <w:spacing w:after="160"/>
        <w:jc w:val="both"/>
      </w:pPr>
      <w:r>
        <w:rPr>
          <w:b w:val="0"/>
        </w:rPr>
        <w:t>El koyma süresince müvekkilin hesabındaki [●] TL maaşa ulaşamaması nedeniyle ödeyemediği kredi taksitleri için tahakkuk eden [●] TL gecikme faizi, aracın kullanılamaması nedeniyle ödenen [●] TL ulaşım ve kiralama gideri ile ekspertiz raporunda belirlenen [●] TL hasar ve değer kaybı maddi zararı oluşturmaktadır. Bu kalemlere ilişkin banka yazısı, kredi ödeme planı, faturalar ve ekspertiz raporu ekte sunulmuştur.</w:t>
      </w:r>
    </w:p>
    <w:p>
      <w:pPr>
        <w:spacing w:after="160"/>
        <w:jc w:val="both"/>
      </w:pPr>
      <w:r>
        <w:rPr>
          <w:b w:val="0"/>
        </w:rPr>
        <w:t>6. Müvekkil ayrıca manevi zarara uğramıştır (CMK m.141/1; Anayasa m.19/son)</w:t>
      </w:r>
    </w:p>
    <w:p>
      <w:pPr>
        <w:spacing w:after="160"/>
        <w:jc w:val="both"/>
      </w:pPr>
      <w:r>
        <w:rPr>
          <w:b w:val="0"/>
        </w:rPr>
        <w:t>Müvekkil hakkındaki el koyma işlemleri, operasyonun basında adıyla yer aldığı bir dönemde gerçekleşmiş; maaşına ve aracına uzun süre ulaşamaması müvekkil ve ailesi üzerinde ağır bir sıkıntı yaratmıştır. Bu zararın tazminat hukukunun genel prensiplerine göre giderilmesi gerekir.</w:t>
      </w:r>
    </w:p>
    <w:p>
      <w:pPr>
        <w:spacing w:after="160"/>
        <w:jc w:val="left"/>
      </w:pPr>
      <w:r>
        <w:rPr>
          <w:b/>
        </w:rPr>
        <w:t>SONUÇ VE İSTEM</w:t>
      </w:r>
    </w:p>
    <w:p>
      <w:pPr>
        <w:spacing w:after="160"/>
        <w:jc w:val="both"/>
      </w:pPr>
      <w:r>
        <w:rPr>
          <w:b w:val="0"/>
        </w:rPr>
        <w:t>Açıklanan nedenlerle; [●] TL maddi ve [●] TL manevi tazminatın istem tarihinden itibaren işleyecek yasal faiziyle birlikte Devletten alınarak müvekkile ödenmesine, gözaltı ve tutukluluğa ilişkin istemin CMK m.142/2 uyarınca ayrılarak Tazminat Komisyonuna gönderilmesine, CMK m.142/9 uyarınca vekâlet ücretine hükmedilmesine karar verilmesini saygılarımızla talep ederiz.</w:t>
      </w:r>
    </w:p>
    <w:p>
      <w:pPr>
        <w:spacing w:after="160"/>
        <w:jc w:val="left"/>
      </w:pPr>
      <w:r>
        <w:rPr>
          <w:b w:val="0"/>
        </w:rPr>
        <w:t>[Tarih]</w:t>
        <w:br/>
      </w:r>
      <w:r>
        <w:rPr>
          <w:b w:val="0"/>
        </w:rPr>
        <w:t>İstemde Bulunan Vekili</w:t>
        <w:br/>
      </w:r>
      <w:r>
        <w:rPr>
          <w:b w:val="0"/>
        </w:rPr>
        <w:t>Av. [Ad Soyad]</w:t>
        <w:br/>
      </w:r>
      <w:r>
        <w:rPr>
          <w:b w:val="0"/>
        </w:rPr>
        <w:t>[e-imza]</w:t>
      </w:r>
    </w:p>
    <w:p>
      <w:pPr>
        <w:spacing w:after="160"/>
        <w:jc w:val="both"/>
      </w:pPr>
      <w:r>
        <w:rPr>
          <w:b w:val="0"/>
        </w:rPr>
        <w:t>EKLER: Vekâletname; kovuşturmaya yer olmadığı kararı ve kesinleşme şerhi; kesinleşmenin tebliğine ilişkin belge; el koyma ve iade tutanakları; banka yazısı; kredi ödeme planı; faturalar; ekspertiz raporu; nüfus kaydı ve adres belgesi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