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T.C. Kimlik No: [●], [adres]</w:t>
        <w:br/>
      </w:r>
      <w:r>
        <w:rPr>
          <w:b w:val="0"/>
        </w:rPr>
        <w:t>MÜDAFİİ: Av. [Ad Soyad], [●] Barosu, sicil no [●], [adres]</w:t>
        <w:br/>
      </w:r>
      <w:r>
        <w:rPr>
          <w:b w:val="0"/>
        </w:rPr>
        <w:t>İSNAT: 7258 sayılı Kanun m.5/1-a ve b, 5237 sayılı Türk Ceza Kanunu m.220</w:t>
        <w:br/>
      </w:r>
      <w:r>
        <w:rPr>
          <w:b w:val="0"/>
        </w:rPr>
        <w:t>KONU: Müvekkil hakkında yürütülen soruşturmada savunmalarımızın ve lehe delillerin toplanmasına ilişkin taleplerimizin sunulması ile kovuşturmaya yer olmadığına karar verilmesi talebimizdir.</w:t>
      </w:r>
    </w:p>
    <w:p>
      <w:pPr>
        <w:spacing w:after="160"/>
        <w:jc w:val="left"/>
      </w:pPr>
      <w:r>
        <w:rPr>
          <w:b/>
        </w:rPr>
        <w:t>AÇIKLAMALAR</w:t>
      </w:r>
    </w:p>
    <w:p>
      <w:pPr>
        <w:spacing w:after="160"/>
        <w:jc w:val="both"/>
      </w:pPr>
      <w:r>
        <w:rPr>
          <w:b w:val="0"/>
        </w:rPr>
        <w:t>Müvekkil, [●] tarihinde [ilan sitesi] üzerinde yayımlanan “evden çalışma, e-ticaret müşteri hizmetleri temsilcisi” başlıklı ilana başvurmuş, kendisiyle yalnızca mesajlaşma uygulaması üzerinden görüşülmüş ve [●] tarihinden itibaren evinden çalışmaya başlamıştır. Müvekkile verilen görev, kendisine tanımlanan destek panelinde kullanıcıların şifre sıfırlama, üyelik bilgisi güncelleme ve teknik erişim sorunlarına ilişkin sorularını yanıtlamaktır. Müvekkil, [●] tarihinde panelde kendisine gösterilmeyen bir bölümün bahis işlemlerine ait olduğunu bir kullanıcı mesajından öğrenmiş ve aynı gün işi bırakmıştır. Müvekkil hakkında, çalıştığı sitenin yasa dışı bahis sitesi olduğu gerekçesiyle soruşturma başlatılmış ve [●] tarihinde ifadesi alınmıştır. Müvekkil hakkında kamu davası açılması için yeterli şüphe bulunmadığını gösteren hususlar aşağıda sırasıyla açıklanmıştır.</w:t>
      </w:r>
    </w:p>
    <w:p>
      <w:pPr>
        <w:spacing w:after="160"/>
        <w:jc w:val="both"/>
      </w:pPr>
      <w:r>
        <w:rPr>
          <w:b w:val="0"/>
        </w:rPr>
        <w:t>1. Müvekkil işin bir bahis sitesine ait olduğunu bilmemektedir; kasten hareket etmemiştir (TCK m.21/1, 30/1)</w:t>
      </w:r>
    </w:p>
    <w:p>
      <w:pPr>
        <w:spacing w:after="160"/>
        <w:jc w:val="both"/>
      </w:pPr>
      <w:r>
        <w:rPr>
          <w:b w:val="0"/>
        </w:rPr>
        <w:t>Kast, suçun kanuni tanımındaki unsurların bilerek ve istenerek gerçekleştirilmesidir ve fiilin icrası sırasında suçun kanuni tanımındaki maddi unsurları bilmeyen kimse kasten hareket etmiş olmaz. Müvekkilin başvurduğu ilan, işe alım yazışmaları ve kendisine verilen görev tanımı işi bir e-ticaret müşteri hizmeti olarak tanıtmaktadır. Müvekkilin kullandığı panel ekranlarında bahis, oran, kupon veya bakiye bilgisine yer verilmemiştir. Müvekkilin işin niteliğini öğrendiği gün işi bırakması, kastın bulunmadığını açıkça göstermektedir.</w:t>
      </w:r>
    </w:p>
    <w:p>
      <w:pPr>
        <w:spacing w:after="160"/>
        <w:jc w:val="both"/>
      </w:pPr>
      <w:r>
        <w:rPr>
          <w:b w:val="0"/>
        </w:rPr>
        <w:t>2. Müvekkilin yaptığı iş, isnat edilen bentlerdeki fiillerin hiçbirini karşılamamaktadır (7258 sayılı Kanun m.5/1-a, b; TCK m.39, 40/1)</w:t>
      </w:r>
    </w:p>
    <w:p>
      <w:pPr>
        <w:spacing w:after="160"/>
        <w:jc w:val="both"/>
      </w:pPr>
      <w:r>
        <w:rPr>
          <w:b w:val="0"/>
        </w:rPr>
        <w:t>Kanun, bahis oyunlarını oynatanları, oynanmasına yer veya imkân sağlayanları ve yurt dışında oynatılan oyunların Türkiye’den oynanmasına imkân sağlayanları cezalandırmaktadır. Müvekkilin görevi kullanıcıların şifre ve üyelik sorularını yanıtlamakla sınırlı olup müvekkil hiçbir oyunun oynatılmasına, bakiye yüklenmesine, kazanç ödenmesine veya para transferine dahil olmamıştır; bu işlemlere ilişkin yetkisi de yoktur. Yardım eden olarak sorumluluk ise kasten işlenmiş bir asıl fiili ve yardım edenin kastının bu fiili de kapsamasını gerektirdiğinden, birinci hususta açıklanan nedenlerle bu yolla da sorumluluk doğmaz.</w:t>
      </w:r>
    </w:p>
    <w:p>
      <w:pPr>
        <w:spacing w:after="160"/>
        <w:jc w:val="both"/>
      </w:pPr>
      <w:r>
        <w:rPr>
          <w:b w:val="0"/>
        </w:rPr>
        <w:t>3. Örgüt üyeliğinin ve örgüte yardımın unsurları gerçekleşmemiştir (TCK m.220/2, 220/7)</w:t>
      </w:r>
    </w:p>
    <w:p>
      <w:pPr>
        <w:spacing w:after="160"/>
        <w:jc w:val="both"/>
      </w:pPr>
      <w:r>
        <w:rPr>
          <w:b w:val="0"/>
        </w:rPr>
        <w:t>Örgüt üyeliği ve hiyerarşik yapıya dahil olmadan örgüte yardım, örgütün varlığının ve suç işleme amacının bilinmesini, yardım bakımından ise kanunun açık ifadesiyle bilerek ve isteyerek hareket edilmesini gerektirir. Müvekkil sitenin yöneticilerini ve diğer çalışanlarını tanımamakta, yalnızca kendisine görev veren tek bir kullanıcı adıyla yazışmaktadır. Müvekkilin örgüt içinde bir görevi, kendisine verilen talimatlar dışında bir ilişkisi veya örgütün faaliyetine yönelik bilinçli bir katkısı bulunmamaktadır.</w:t>
      </w:r>
    </w:p>
    <w:p>
      <w:pPr>
        <w:spacing w:after="160"/>
        <w:jc w:val="both"/>
      </w:pPr>
      <w:r>
        <w:rPr>
          <w:b w:val="0"/>
        </w:rPr>
        <w:t>4. Lehe delillerin toplanması gerekmektedir (CMK m.160/2)</w:t>
      </w:r>
    </w:p>
    <w:p>
      <w:pPr>
        <w:spacing w:after="160"/>
        <w:jc w:val="both"/>
      </w:pPr>
      <w:r>
        <w:rPr>
          <w:b w:val="0"/>
        </w:rPr>
        <w:t>Cumhuriyet savcısı şüphelinin lehine olan delilleri de toplamakla yükümlüdür. İş ilanının arşiv kaydı, işe alım ve görev yazışmaları, müvekkilin panel kullanıcı yetkilerini ve yaptığı işlemleri gösteren sistem kayıtları, müvekkilin işi bıraktığı tarihi gösteren yazışmalar ve müvekkile yapılan ödemelerin tutarı ile zamanını gösteren banka kayıtları getirtilmelidir. Bu kayıtlar müvekkilin rolünün ve bilgisinin sınırlarını ortaya koyacaktır.</w:t>
      </w:r>
    </w:p>
    <w:p>
      <w:pPr>
        <w:spacing w:after="160"/>
        <w:jc w:val="left"/>
      </w:pPr>
      <w:r>
        <w:rPr>
          <w:b/>
        </w:rPr>
        <w:t>DELİLLER</w:t>
      </w:r>
    </w:p>
    <w:p>
      <w:pPr>
        <w:spacing w:after="160"/>
        <w:jc w:val="both"/>
      </w:pPr>
      <w:r>
        <w:rPr>
          <w:b w:val="0"/>
        </w:rPr>
        <w:t>İş ilanı ve arşiv kaydı; işe alım ve görev yazışmaları; panel ekran görüntüleri ve kullanıcı yetki kayıtları; müvekkilin işi bıraktığına ilişkin yazışmalar; banka kayıtları; tanık beyanları, bilirkişi incelemesi ve her türlü yasal delil.</w:t>
      </w:r>
    </w:p>
    <w:p>
      <w:pPr>
        <w:spacing w:after="160"/>
        <w:jc w:val="left"/>
      </w:pPr>
      <w:r>
        <w:rPr>
          <w:b/>
        </w:rPr>
        <w:t>HUKUKİ SEBEPLER</w:t>
      </w:r>
    </w:p>
    <w:p>
      <w:pPr>
        <w:spacing w:after="160"/>
        <w:jc w:val="both"/>
      </w:pPr>
      <w:r>
        <w:rPr>
          <w:b w:val="0"/>
        </w:rPr>
        <w:t>Anayasa m.38; 5271 sayılı Ceza Muhakemesi Kanunu m.63, 147, 160, 172; 5237 sayılı Türk Ceza Kanunu m.21, 30, 37, 39, 40, 220; 7258 sayılı Kanun m.5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İş ilanı, yazışmalar, panel yetki ve işlem kayıtları ile banka kayıtlarının getirtilmesine,</w:t>
        <w:br/>
      </w:r>
      <w:r>
        <w:rPr>
          <w:b w:val="0"/>
        </w:rPr>
        <w:t>3. Kabul anlamına gelmemek kaydıyla, aksi kanaat hâlinde, müvekkilin panel üzerindeki yetki ve işlemlerinin tespiti için bilirkişi incelemesi yaptırılmasına,</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iş ilanı çıktısı; yazışmalar; panel ekran görüntüleri; banka kayıtları.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