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İNFAZ HÂKİMLİĞİNE</w:t>
      </w:r>
    </w:p>
    <w:p>
      <w:pPr>
        <w:spacing w:after="160"/>
        <w:jc w:val="left"/>
      </w:pPr>
      <w:r>
        <w:rPr>
          <w:b w:val="0"/>
        </w:rPr>
        <w:t>TALEP EDEN HÜKÜMLÜ: [Ad Soyad], T.C. Kimlik No: [●], [●] Ceza İnfaz Kurumu</w:t>
        <w:br/>
      </w:r>
      <w:r>
        <w:rPr>
          <w:b w:val="0"/>
        </w:rPr>
        <w:t>MÜDAFİİ: Av. [Ad Soyad], [●] Barosu, sicil no [●]</w:t>
        <w:br/>
      </w:r>
      <w:r>
        <w:rPr>
          <w:b w:val="0"/>
        </w:rPr>
        <w:t>İNFAZ DOSYASI: [●] Cumhuriyet Başsavcılığı İnfaz Bürosunun [●] sayılı dosyası</w:t>
        <w:br/>
      </w:r>
      <w:r>
        <w:rPr>
          <w:b w:val="0"/>
        </w:rPr>
        <w:t>İLGİLİ HÜKÜM: [●] Asliye Ceza Mahkemesinin [●] Esas, [●] Karar sayılı ve [●] tarihinde kesinleşen hükmü</w:t>
      </w:r>
    </w:p>
    <w:p>
      <w:pPr>
        <w:spacing w:after="160"/>
        <w:jc w:val="both"/>
      </w:pPr>
      <w:r>
        <w:rPr>
          <w:b w:val="0"/>
        </w:rPr>
        <w:t>KONU: 5275 sayılı Kanun’un 98 inci maddesinin birinci fıkrasının (b) bendi uyarınca müddetnamedeki koşullu salıverilme oranının, mahsup süresinin ve geçici 10 uncu maddeye ilişkin hesabın düzeltilmesi talebidir.</w:t>
      </w:r>
    </w:p>
    <w:p>
      <w:pPr>
        <w:spacing w:after="160"/>
        <w:jc w:val="left"/>
      </w:pPr>
      <w:r>
        <w:rPr>
          <w:b/>
        </w:rPr>
        <w:t>AÇIKLAMALAR</w:t>
      </w:r>
    </w:p>
    <w:p>
      <w:pPr>
        <w:spacing w:after="160"/>
        <w:jc w:val="both"/>
      </w:pPr>
      <w:r>
        <w:rPr>
          <w:b w:val="0"/>
        </w:rPr>
        <w:t>Müvekkil, [●] tarihinde işlendiği kabul edilen yasa dışı bahis bağlantılı para nakline aracılık suçundan 7258 sayılı Kanun’un 5 inci maddesinin birinci fıkrasının (c) bendi uyarınca [●] yıl [●] ay hapis cezasına mahkûm edilmiş, aynı hükümle suç işlemek amacıyla kurulan örgüte üye olma suçundan beraat etmiştir. Hüküm [●] tarihinde kesinleşmiş ve müvekkil [●] tarihinde ceza infaz kurumuna alınmıştır. Başsavcılıkça düzenlenen müddetnamede koşullu salıverilme hesabı cezanın üçte ikisi üzerinden yapılmış, müvekkilin [●] ile [●] tarihleri arasındaki gözaltı süresi mahsup edilmemiş ve suç tarihi itibarıyla uygulanması gereken geçici hüküm gösterilmemiştir.</w:t>
      </w:r>
    </w:p>
    <w:p>
      <w:pPr>
        <w:spacing w:after="160"/>
        <w:jc w:val="both"/>
      </w:pPr>
      <w:r>
        <w:rPr>
          <w:b w:val="0"/>
        </w:rPr>
        <w:t>1. Talep, çektirilecek cezanın hesabındaki duraksamanın giderilmesine yöneliktir (5275 s.K. m.98/1-b, m.101/1)</w:t>
      </w:r>
    </w:p>
    <w:p>
      <w:pPr>
        <w:spacing w:after="160"/>
        <w:jc w:val="both"/>
      </w:pPr>
      <w:r>
        <w:rPr>
          <w:b w:val="0"/>
        </w:rPr>
        <w:t>Çektirilecek cezanın hesabında duraksama olursa duraksamanın giderilmesi veya yerine getirilecek cezanın belirlenmesi için infaz hâkimliğinden karar istenir ve bu karar duruşma yapılmaksızın verilir. Müvekkilin talebi hükmün değiştirilmesine değil, kesinleşmiş hükmün infazında uygulanacak oranın, mahsubun ve sürelerin doğru belirlenmesine ilişkindir.</w:t>
      </w:r>
    </w:p>
    <w:p>
      <w:pPr>
        <w:spacing w:after="160"/>
        <w:jc w:val="both"/>
      </w:pPr>
      <w:r>
        <w:rPr>
          <w:b w:val="0"/>
        </w:rPr>
        <w:t>2. Hükümde suçun örgüt faaliyeti çerçevesinde işlendiği kabul edilmemiştir (5275 s.K. m.107/4)</w:t>
      </w:r>
    </w:p>
    <w:p>
      <w:pPr>
        <w:spacing w:after="160"/>
        <w:jc w:val="both"/>
      </w:pPr>
      <w:r>
        <w:rPr>
          <w:b w:val="0"/>
        </w:rPr>
        <w:t>Koşullu salıverilmede üçte iki oranı, suç işlemek için örgüt kurmak veya yönetmek ya da örgütün faaliyeti çerçevesinde işlenen suçtan dolayı mahkûmiyet hâlinde uygulanır. Müvekkil örgüte üye olma suçundan beraat etmiş, hükmün gerekçesinde de bahis suçunun bir örgütün faaliyeti çerçevesinde işlendiği yönünde bir kabul yer almamıştır. Hükümde bulunmayan bir nitelendirmenin infaz aşamasında oranı ağırlaştıracak biçimde esas alınması mümkün değildir.</w:t>
      </w:r>
    </w:p>
    <w:p>
      <w:pPr>
        <w:spacing w:after="160"/>
        <w:jc w:val="both"/>
      </w:pPr>
      <w:r>
        <w:rPr>
          <w:b w:val="0"/>
        </w:rPr>
        <w:t>3. Müvekkil hakkında koşullu salıverilme oranı yarıdır (5275 s.K. m.107/2)</w:t>
      </w:r>
    </w:p>
    <w:p>
      <w:pPr>
        <w:spacing w:after="160"/>
        <w:jc w:val="both"/>
      </w:pPr>
      <w:r>
        <w:rPr>
          <w:b w:val="0"/>
        </w:rPr>
        <w:t>Süreli hapis cezalarında koşullu salıverilme için cezanın yarısının infaz kurumunda iyi hâlli olarak geçirilmesi yeterlidir. 7258 sayılı Kanun’daki bahis suçları, üçte iki oranının uygulandığı suçlar arasında sayılmamıştır. Bu nedenle müvekkilin koşullu salıverilme tarihinin cezanın yarısı esas alınarak yeniden hesaplanması gerekir.</w:t>
      </w:r>
    </w:p>
    <w:p>
      <w:pPr>
        <w:spacing w:after="160"/>
        <w:jc w:val="both"/>
      </w:pPr>
      <w:r>
        <w:rPr>
          <w:b w:val="0"/>
        </w:rPr>
        <w:t>4. Gözaltında geçen süre cezadan mahsup edilmelidir (TCK m.63)</w:t>
      </w:r>
    </w:p>
    <w:p>
      <w:pPr>
        <w:spacing w:after="160"/>
        <w:jc w:val="both"/>
      </w:pPr>
      <w:r>
        <w:rPr>
          <w:b w:val="0"/>
        </w:rPr>
        <w:t>Hüküm kesinleşmeden önce gerçekleşen ve şahsi hürriyeti sınırlama sonucunu doğuran bütün hâller nedeniyle geçirilen süreler hapis cezasından indirilir. Müvekkil [●] ile [●] tarihleri arasında bu dosya nedeniyle gözaltında kalmış olup bu durum ekteki gözaltı tutanağıyla sabittir. Bu sürenin müddetnamede cezadan indirilmesi gerekir.</w:t>
      </w:r>
    </w:p>
    <w:p>
      <w:pPr>
        <w:spacing w:after="160"/>
        <w:jc w:val="both"/>
      </w:pPr>
      <w:r>
        <w:rPr>
          <w:b w:val="0"/>
        </w:rPr>
        <w:t>5. Suç tarihi itibarıyla geçici 10 uncu maddenin altıncı fıkrası uygulanmalıdır (5275 s.K. geçici m.10/6)</w:t>
      </w:r>
    </w:p>
    <w:p>
      <w:pPr>
        <w:spacing w:after="160"/>
        <w:jc w:val="both"/>
      </w:pPr>
      <w:r>
        <w:rPr>
          <w:b w:val="0"/>
        </w:rPr>
        <w:t>31/7/2023 tarihi ve öncesinde işlenmiş suçlar nedeniyle kapalı ceza infaz kurumunda bulunan hükümlülerden, toplam cezası on yıldan az olanlar bir ayını bu kurumda geçirip açık ceza infaz kurumuna ayrılmasına üç yıl veya daha az süre kalmışsa açık kuruma ayrılabilir ve en az üç ay açık kurumda kaldıktan sonra denetimli serbestlik uygulamasından üç yıl erken yararlandırılır. Müvekkilin suçu [●] tarihinde işlediği kabul edilmiş olup suç örgüt faaliyeti kapsamında da değildir. Bu nedenle açık kuruma ayrılma ve denetimli serbestlik tarihlerinin bu hüküm gözetilerek belirlenmesi gerekir.</w:t>
      </w:r>
    </w:p>
    <w:p>
      <w:pPr>
        <w:spacing w:after="160"/>
        <w:jc w:val="left"/>
      </w:pPr>
      <w:r>
        <w:rPr>
          <w:b/>
        </w:rPr>
        <w:t>SONUÇ VE İSTEM</w:t>
      </w:r>
    </w:p>
    <w:p>
      <w:pPr>
        <w:spacing w:after="160"/>
        <w:jc w:val="left"/>
      </w:pPr>
      <w:r>
        <w:rPr>
          <w:b w:val="0"/>
        </w:rPr>
        <w:t>Açıklanan nedenlerle;</w:t>
        <w:br/>
      </w:r>
      <w:r>
        <w:rPr>
          <w:b w:val="0"/>
        </w:rPr>
        <w:t>1. Müvekkilin koşullu salıverilme hesabının 5275 sayılı Kanun’un 107 nci maddesinin ikinci fıkrası uyarınca cezanın yarısı üzerinden yapılmasına,</w:t>
        <w:br/>
      </w:r>
      <w:r>
        <w:rPr>
          <w:b w:val="0"/>
        </w:rPr>
        <w:t>2. [●] ile [●] tarihleri arasındaki gözaltı süresinin TCK m.63 uyarınca cezadan mahsubuna,</w:t>
        <w:br/>
      </w:r>
      <w:r>
        <w:rPr>
          <w:b w:val="0"/>
        </w:rPr>
        <w:t>3. Açık ceza infaz kurumuna ayrılma ve denetimli serbestlik tarihlerinin geçici 10 uncu maddenin altıncı fıkrası gözetilerek belirlenmesine,</w:t>
        <w:br/>
      </w:r>
      <w:r>
        <w:rPr>
          <w:b w:val="0"/>
        </w:rPr>
        <w:t>4. Müddetnamenin bu esaslara göre düzeltilmesi için Cumhuriyet Başsavcılığına gönderilmesine,</w:t>
        <w:br/>
      </w:r>
      <w:r>
        <w:rPr>
          <w:b w:val="0"/>
        </w:rPr>
        <w:t>karar verilmesini saygılarımızla talep ederiz.</w:t>
      </w:r>
    </w:p>
    <w:p>
      <w:pPr>
        <w:spacing w:after="160"/>
        <w:jc w:val="left"/>
      </w:pPr>
      <w:r>
        <w:rPr>
          <w:b w:val="0"/>
        </w:rPr>
        <w:t>[Tarih]</w:t>
        <w:br/>
      </w:r>
      <w:r>
        <w:rPr>
          <w:b w:val="0"/>
        </w:rPr>
        <w:t>Hükümlü Müdafii</w:t>
        <w:br/>
      </w:r>
      <w:r>
        <w:rPr>
          <w:b w:val="0"/>
        </w:rPr>
        <w:t>Av. [Ad Soyad]</w:t>
        <w:br/>
      </w:r>
      <w:r>
        <w:rPr>
          <w:b w:val="0"/>
        </w:rPr>
        <w:t>[e-imza]</w:t>
      </w:r>
    </w:p>
    <w:p>
      <w:pPr>
        <w:spacing w:after="160"/>
        <w:jc w:val="both"/>
      </w:pPr>
      <w:r>
        <w:rPr>
          <w:b w:val="0"/>
        </w:rPr>
        <w:t>EKLER: Vekâletname; kesinleşmiş hüküm örneği ve gerekçeli karar; müddetname örneği; gözaltı tutanağı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