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rPr>
          <w:b/>
        </w:rPr>
        <w:t>ANKARA [●]. ASLİYE CEZA MAHKEMESİNE</w:t>
      </w:r>
    </w:p>
    <w:p>
      <w:pPr>
        <w:spacing w:after="160"/>
        <w:jc w:val="left"/>
      </w:pPr>
      <w:r>
        <w:rPr>
          <w:b w:val="0"/>
        </w:rPr>
        <w:t>ESAS NO: [●]</w:t>
        <w:br/>
      </w:r>
      <w:r>
        <w:rPr>
          <w:b w:val="0"/>
        </w:rPr>
        <w:t>SANIK: [Ad Soyad], T.C. Kimlik No: [●], [adres]</w:t>
        <w:br/>
      </w:r>
      <w:r>
        <w:rPr>
          <w:b w:val="0"/>
        </w:rPr>
        <w:t>MÜDAFİİ: Av. [Ad Soyad], [●] Barosu, sicil no [●], [adres]</w:t>
        <w:br/>
      </w:r>
      <w:r>
        <w:rPr>
          <w:b w:val="0"/>
        </w:rPr>
        <w:t>KONU: Müdafi hazır bulunmaksızın kollukta alınan ifadenin hükme esas alınamayacağına ilişkin beyanlarımızın sunulmasından ibarettir.</w:t>
      </w:r>
    </w:p>
    <w:p>
      <w:pPr>
        <w:spacing w:after="160"/>
        <w:jc w:val="left"/>
      </w:pPr>
      <w:r>
        <w:rPr>
          <w:b/>
        </w:rPr>
        <w:t>AÇIKLAMALAR</w:t>
      </w:r>
    </w:p>
    <w:p>
      <w:pPr>
        <w:spacing w:after="160"/>
        <w:jc w:val="both"/>
      </w:pPr>
      <w:r>
        <w:rPr>
          <w:b w:val="0"/>
        </w:rPr>
        <w:t>Müvekkil hakkında 7258 sayılı Kanun’un 5. maddesinin birinci fıkrasının (c) bendi uyarınca para nakline aracılık suçundan kamu davası açılmıştır. İddianamede müvekkilin [●] tarihinde [●] Emniyet Müdürlüğünde alınan ifadesindeki “hesabımı arkadaşım [●] kullanıyordu, karşılığında para verdi” şeklindeki anlatım, isnadın başlıca dayanağı olarak gösterilmiştir. Söz konusu ifade müdafi hazır bulunmaksızın alınmış olup müvekkil, Cumhuriyet savcılığındaki ve Mahkemenizdeki sorgusunda bu anlatımı doğrulamamış, hesabını kimseye kiraya vermediğini ve karşılığında herhangi bir menfaat almadığını açıkça beyan etmiştir. Kolluk ifadesinin hükme esas alınamayacağına ilişkin hususlar aşağıda sırasıyla açıklanmıştır.</w:t>
      </w:r>
    </w:p>
    <w:p>
      <w:pPr>
        <w:spacing w:after="160"/>
        <w:jc w:val="both"/>
      </w:pPr>
      <w:r>
        <w:rPr>
          <w:b w:val="0"/>
        </w:rPr>
        <w:t>1. Müdafi hazır bulunmaksızın kollukça alınan ifade, doğrulanmadıkça hükme esas alınamaz (CMK m.148/4)</w:t>
      </w:r>
    </w:p>
    <w:p>
      <w:pPr>
        <w:spacing w:after="160"/>
        <w:jc w:val="both"/>
      </w:pPr>
      <w:r>
        <w:rPr>
          <w:b w:val="0"/>
        </w:rPr>
        <w:t>Kanun, müdafi hazır bulunmaksızın kollukça alınan ifadenin hâkim veya mahkeme huzurunda şüpheli veya sanık tarafından doğrulanmadıkça hükme esas alınamayacağını açıkça düzenlemektedir. Müvekkil Mahkemeniz huzurunda yapılan sorgusunda kolluk ifadesindeki anlatımı doğrulamamış, aksine bu anlatımın kendi sözleri olmadığını ve tutanağı okumadan imzaladığını beyan etmiştir. Bu durumda söz konusu ifade, ne tek başına ne de diğer delillerle birlikte hükme dayanak yapılabilir.</w:t>
      </w:r>
    </w:p>
    <w:p>
      <w:pPr>
        <w:spacing w:after="160"/>
        <w:jc w:val="both"/>
      </w:pPr>
      <w:r>
        <w:rPr>
          <w:b w:val="0"/>
        </w:rPr>
        <w:t>2. Müvekkile müdafi hakkı usulüne uygun biçimde hatırlatılmamış ve istemi karşılanmamıştır (CMK m.147/1-c, 150/1)</w:t>
      </w:r>
    </w:p>
    <w:p>
      <w:pPr>
        <w:spacing w:after="160"/>
        <w:jc w:val="both"/>
      </w:pPr>
      <w:r>
        <w:rPr>
          <w:b w:val="0"/>
        </w:rPr>
        <w:t>İfade alınırken şüpheliye müdafi seçme hakkının bulunduğu ve müdafiin ifadede hazır bulunabileceği bildirilir; müdafi seçecek durumda olmadığı ve müdafi yardımından faydalanmak istediği takdirde baro tarafından müdafi görevlendirilir. Tutanakta yer alan “avukat istemiyorum” ibaresi matbu olarak yazılmış olup müvekkil, gözaltına alındığı sırada avukat istediğini ancak kendisine baronun görevlendireceği bir avukatı beklemesi hâlinde gözaltı süresinin uzayacağının söylendiğini beyan etmektedir. Bu beyanın doğruluğu, gözaltı işlemlerine ilişkin kayıtların ve baroya yapılmış bir talep bulunup bulunmadığının araştırılmasıyla ortaya konulabilecektir.</w:t>
      </w:r>
    </w:p>
    <w:p>
      <w:pPr>
        <w:spacing w:after="160"/>
        <w:jc w:val="both"/>
      </w:pPr>
      <w:r>
        <w:rPr>
          <w:b w:val="0"/>
        </w:rPr>
        <w:t>3. Yüklenen suç ancak hukuka uygun olarak elde edilmiş delillerle ispat edilebilir (CMK m.206/2-a, 217/2; Anayasa m.38/6)</w:t>
      </w:r>
    </w:p>
    <w:p>
      <w:pPr>
        <w:spacing w:after="160"/>
        <w:jc w:val="both"/>
      </w:pPr>
      <w:r>
        <w:rPr>
          <w:b w:val="0"/>
        </w:rPr>
        <w:t>Kanuna aykırı olarak elde edilmiş bulgular delil olarak kabul edilemez ve yüklenen suç ancak hukuka uygun bir şekilde elde edilmiş her türlü delille ispat edilebilir. Hükmün hukuka aykırı yöntemlerle elde edilen delile dayanması, temyiz dilekçesinde gösterilmemiş olsa dahi hukuka kesin aykırılık hâli olarak kabul edilmiştir. Müvekkilin doğrulamadığı kolluk ifadesine dayanılarak kurulacak bir hüküm bu nedenle hukuka aykırı olacaktır.</w:t>
      </w:r>
    </w:p>
    <w:p>
      <w:pPr>
        <w:spacing w:after="160"/>
        <w:jc w:val="both"/>
      </w:pPr>
      <w:r>
        <w:rPr>
          <w:b w:val="0"/>
        </w:rPr>
        <w:t>4. Kolluk ifadesi dışlandığında isnadın unsurlarını gösteren bir delil kalmamaktadır (7258 s.K. m.5/1-c; TCK m.21/1)</w:t>
      </w:r>
    </w:p>
    <w:p>
      <w:pPr>
        <w:spacing w:after="160"/>
        <w:jc w:val="both"/>
      </w:pPr>
      <w:r>
        <w:rPr>
          <w:b w:val="0"/>
        </w:rPr>
        <w:t>Para nakline aracılık suçu kasten işlenebilen bir suçtur; suçun oluşması kastın varlığına bağlıdır. Dosyada müvekkilin hesabından yapılan transferlere ilişkin banka dökümü dışında, müvekkilin bu transferleri bahis oynatılmasıyla bağlantılı bir para nakline bilerek aracılık etmek amacıyla yaptığını veya hesabını bu amaçla bir başkasının kullanımına bıraktığını gösteren bir delil bulunmamaktadır. Hesabın kimin kullanımında olduğunu gösterecek oturum ve cihaz kayıtları da dosyaya getirtilmemiştir. Bu durumda müvekkil hakkında beraat kararı verilmesi gerekmektedir.</w:t>
      </w:r>
    </w:p>
    <w:p>
      <w:pPr>
        <w:spacing w:after="160"/>
        <w:jc w:val="left"/>
      </w:pPr>
      <w:r>
        <w:rPr>
          <w:b/>
        </w:rPr>
        <w:t>DELİLLER</w:t>
      </w:r>
    </w:p>
    <w:p>
      <w:pPr>
        <w:spacing w:after="160"/>
        <w:jc w:val="both"/>
      </w:pPr>
      <w:r>
        <w:rPr>
          <w:b w:val="0"/>
        </w:rPr>
        <w:t>Kolluk ifade tutanağı; Cumhuriyet savcılığı ifade tutanağı; duruşma sorgu tutanağı; gözaltı işlemlerine ilişkin kayıtlar; banka kayıtları ve her türlü yasal delil.</w:t>
      </w:r>
    </w:p>
    <w:p>
      <w:pPr>
        <w:spacing w:after="160"/>
        <w:jc w:val="left"/>
      </w:pPr>
      <w:r>
        <w:rPr>
          <w:b/>
        </w:rPr>
        <w:t>HUKUKİ SEBEPLER</w:t>
      </w:r>
    </w:p>
    <w:p>
      <w:pPr>
        <w:spacing w:after="160"/>
        <w:jc w:val="both"/>
      </w:pPr>
      <w:r>
        <w:rPr>
          <w:b w:val="0"/>
        </w:rPr>
        <w:t>5271 sayılı Ceza Muhakemesi Kanunu m.147, 148, 150, 206, 217, 289; 7258 sayılı Kanun m.5; 5237 sayılı Türk Ceza Kanunu m.21; Anayasa m.36, 38 ve ilgili mevzuat.</w:t>
      </w:r>
    </w:p>
    <w:p>
      <w:pPr>
        <w:spacing w:after="160"/>
        <w:jc w:val="left"/>
      </w:pPr>
      <w:r>
        <w:rPr>
          <w:b/>
        </w:rPr>
        <w:t>SONUÇ VE İSTEM</w:t>
      </w:r>
    </w:p>
    <w:p>
      <w:pPr>
        <w:spacing w:after="160"/>
        <w:jc w:val="left"/>
      </w:pPr>
      <w:r>
        <w:rPr>
          <w:b w:val="0"/>
        </w:rPr>
        <w:t>Açıklanan nedenlerle;</w:t>
        <w:br/>
      </w:r>
      <w:r>
        <w:rPr>
          <w:b w:val="0"/>
        </w:rPr>
        <w:t>1. Müvekkilin müdafi hazır bulunmaksızın kollukta alınan ve Mahkemeniz huzurunda doğrulanmayan ifadesinin hükme esas alınmamasına,</w:t>
        <w:br/>
      </w:r>
      <w:r>
        <w:rPr>
          <w:b w:val="0"/>
        </w:rPr>
        <w:t>2. Gözaltı işlemlerine ilişkin kayıtların ve baroya müdafi görevlendirilmesi için talepte bulunulup bulunulmadığına dair kayıtların getirtilmesine,</w:t>
        <w:br/>
      </w:r>
      <w:r>
        <w:rPr>
          <w:b w:val="0"/>
        </w:rPr>
        <w:t>3. Müvekkilin hesabına ait oturum, cihaz ve bağlantı kayıtlarının ilgili bankadan istenmesine,</w:t>
        <w:br/>
      </w:r>
      <w:r>
        <w:rPr>
          <w:b w:val="0"/>
        </w:rPr>
        <w:t>4. Müvekkilin üzerine atılı suçtan beraatine,</w:t>
        <w:br/>
      </w:r>
      <w:r>
        <w:rPr>
          <w:b w:val="0"/>
        </w:rPr>
        <w:t>karar verilmesini saygılarımızla arz ve talep ederiz.</w:t>
      </w:r>
    </w:p>
    <w:p>
      <w:pPr>
        <w:spacing w:after="160"/>
        <w:jc w:val="left"/>
      </w:pPr>
      <w:r>
        <w:rPr>
          <w:b w:val="0"/>
        </w:rPr>
        <w:t>[Tarih]</w:t>
        <w:br/>
      </w:r>
      <w:r>
        <w:rPr>
          <w:b w:val="0"/>
        </w:rPr>
        <w:t>Sanık Müdafii</w:t>
        <w:br/>
      </w:r>
      <w:r>
        <w:rPr>
          <w:b w:val="0"/>
        </w:rPr>
        <w:t>Av. [Ad Soyad]</w:t>
        <w:br/>
      </w:r>
      <w:r>
        <w:rPr>
          <w:b w:val="0"/>
        </w:rPr>
        <w:t>[e-imza]</w:t>
      </w:r>
    </w:p>
    <w:p>
      <w:pPr>
        <w:spacing w:after="160"/>
        <w:jc w:val="both"/>
      </w:pPr>
      <w:r>
        <w:rPr>
          <w:b w:val="0"/>
        </w:rPr>
        <w:t>EKLER: Vekâletname.</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