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ASLİYE CEZA MAHKEMESİNE</w:t>
      </w:r>
    </w:p>
    <w:p>
      <w:pPr>
        <w:spacing w:after="160"/>
        <w:jc w:val="left"/>
      </w:pPr>
      <w:r>
        <w:rPr>
          <w:b w:val="0"/>
        </w:rPr>
        <w:t>DOSYA NO: [●] Esas</w:t>
        <w:br/>
      </w:r>
      <w:r>
        <w:rPr>
          <w:b w:val="0"/>
        </w:rPr>
        <w:t>SANIK: [Ad Soyad], T.C. Kimlik No: [●], [adres]</w:t>
        <w:br/>
      </w:r>
      <w:r>
        <w:rPr>
          <w:b w:val="0"/>
        </w:rPr>
        <w:t>MÜDAFİİ: Av. [Ad Soyad], [●] Barosu, sicil no [●]</w:t>
        <w:br/>
      </w:r>
      <w:r>
        <w:rPr>
          <w:b w:val="0"/>
        </w:rPr>
        <w:t>KONU: Esas hakkındaki savunmamıza ek olarak, müvekkilin beraatine; aksi kanaat hâlinde hükmün açıklanmasının geri bırakılmasına, bunun da mümkün görülmemesi hâlinde cezanın ertelenmesi ve meslek yoksunluğunun uygulanmaması taleplerimizin sunulmasıdır.</w:t>
      </w:r>
    </w:p>
    <w:p>
      <w:pPr>
        <w:spacing w:after="160"/>
        <w:jc w:val="left"/>
      </w:pPr>
      <w:r>
        <w:rPr>
          <w:b/>
        </w:rPr>
        <w:t>AÇIKLAMALAR</w:t>
      </w:r>
    </w:p>
    <w:p>
      <w:pPr>
        <w:spacing w:after="160"/>
        <w:jc w:val="both"/>
      </w:pPr>
      <w:r>
        <w:rPr>
          <w:b w:val="0"/>
        </w:rPr>
        <w:t>Müvekkil, [●] yılından bu yana serbest muhasebeci mali müşavir olarak mesleğini sürdürmektedir. Adına [●] Bankasında açılmış ikinci bir hesabı, [●] tarihinde, e-ticaret tahsilatlarını almak için kısa süreliğine hesap istediğini söyleyen tanıdığı [●]’in kullanımına bırakmıştır. İddianamede, bu hesaba [●] ile [●] tarihleri arasında gelen paraların yasa dışı bahis bağlantılı olduğu ileri sürülerek müvekkilin 7258 sayılı Kanun’un 5 inci maddesinin birinci fıkrasının (c) bendindeki suça yardım ettiği iddia edilmiştir. Esas hakkındaki savunmamızı daha önce sunmuş olup, mütalaa karşısında aşağıdaki hususları ve taleplerimizi ayrıca bildiriyoruz.</w:t>
      </w:r>
    </w:p>
    <w:p>
      <w:pPr>
        <w:spacing w:after="160"/>
        <w:jc w:val="both"/>
      </w:pPr>
      <w:r>
        <w:rPr>
          <w:b w:val="0"/>
        </w:rPr>
        <w:t>1. Müvekkilin kastı bulunmadığından beraatine karar verilmelidir (TCK m.21/1, 39/2; CMK m.223/2-c, e)</w:t>
      </w:r>
    </w:p>
    <w:p>
      <w:pPr>
        <w:spacing w:after="160"/>
        <w:jc w:val="both"/>
      </w:pPr>
      <w:r>
        <w:rPr>
          <w:b w:val="0"/>
        </w:rPr>
        <w:t>Yardım eden sıfatıyla sorumluluk, kasten işlenen bir fiile bilerek katkıyı gerektirir. Müvekkil hesabı, kendisine e-ticaret tahsilatı amacı bildirilen bir tanıdığına kullandırmış; hesaba gelen paraların bahisle bağlantılı olduğunu bilmemiştir. Dosyada müvekkilin bahis faaliyetinden haberdar olduğunu gösteren hiçbir yazışma, ödeme veya tanık beyanı bulunmamakta, müvekkilin bu hesaptan herhangi bir menfaat elde ettiği de ileri sürülmemektedir. Yüklenen suç açısından kast bulunmadığından ve suçun işlendiği sabit olmadığından müvekkilin beraatine karar verilmesi gerekir.</w:t>
      </w:r>
    </w:p>
    <w:p>
      <w:pPr>
        <w:spacing w:after="160"/>
        <w:jc w:val="both"/>
      </w:pPr>
      <w:r>
        <w:rPr>
          <w:b w:val="0"/>
        </w:rPr>
        <w:t>2. Kabul anlamına gelmemek kaydıyla, cezanın belirlenmesinde mesleki sonuçlar gözetilmelidir (TCK m.61, 62/2)</w:t>
      </w:r>
    </w:p>
    <w:p>
      <w:pPr>
        <w:spacing w:after="160"/>
        <w:jc w:val="both"/>
      </w:pPr>
      <w:r>
        <w:rPr>
          <w:b w:val="0"/>
        </w:rPr>
        <w:t>Ana savunmamız beraat yönündedir. Mahkemeniz aksi kanaatte olsa dahi, takdiri indirim nedenleri arasında cezanın failin geleceği üzerindeki olası etkileri de sayılmıştır. Serbest muhasebeci mali müşavirlik için kasten işlenen bir suçtan dolayı bir yıl veya daha fazla süreyle hapis cezasına mahkûm olmamak şarttır (3568 s.K. m.4/d). Müvekkil hakkında kurulacak bir mahkûmiyet hükmü, uzun yıllara dayanan meslek hayatının sona ermesi sonucunu doğurabilecektir. Müvekkilin sabıkasız geçmişi, yargılama boyunca gösterdiği tutum ve bu ağır sonuç, cezanın belirlenmesinde ve takdiri indirimde gözetilmelidir.</w:t>
      </w:r>
    </w:p>
    <w:p>
      <w:pPr>
        <w:spacing w:after="160"/>
        <w:jc w:val="both"/>
      </w:pPr>
      <w:r>
        <w:rPr>
          <w:b w:val="0"/>
        </w:rPr>
        <w:t>3. Aksi kanaat hâlinde, hükmün açıklanmasının geri bırakılmasına karar verilmelidir (CMK m.231/5-6)</w:t>
      </w:r>
    </w:p>
    <w:p>
      <w:pPr>
        <w:spacing w:after="160"/>
        <w:jc w:val="both"/>
      </w:pPr>
      <w:r>
        <w:rPr>
          <w:b w:val="0"/>
        </w:rPr>
        <w:t>Hükmolunacak cezanın iki yıl veya daha az süreli hapis cezası olması hâlinde, hükmün açıklanmasının geri bırakılmasına karar verilebilir. Müvekkil daha önce kasıtlı bir suçtan mahkûm olmamıştır; kişilik özellikleri ve duruşmadaki tutumu yeniden suç işlemeyeceği kanaatini vermektedir; dosyada müvekkilin fiiliyle doğmuş ve tespit edilmiş bir zarar bulunmamaktadır. Hükmün açıklanmasının geri bırakılması, kurulan hükmün sanık hakkında hukuki sonuç doğurmamasını ifade ettiğinden, müvekkilin mesleğinin korunması bakımından da ölçülü sonuç budur. Müvekkil bu kararın verilmesine karşı çıkmamaktadır.</w:t>
      </w:r>
    </w:p>
    <w:p>
      <w:pPr>
        <w:spacing w:after="160"/>
        <w:jc w:val="both"/>
      </w:pPr>
      <w:r>
        <w:rPr>
          <w:b w:val="0"/>
        </w:rPr>
        <w:t>4. Hükmün açıklanmasının geri bırakılması mümkün görülmezse, ceza ertelenmeli ve meslek yoksunluğu uygulanmamalıdır (TCK m.51/1, 53/3, 53/4)</w:t>
      </w:r>
    </w:p>
    <w:p>
      <w:pPr>
        <w:spacing w:after="160"/>
        <w:jc w:val="both"/>
      </w:pPr>
      <w:r>
        <w:rPr>
          <w:b w:val="0"/>
        </w:rPr>
        <w:t>İki yıl veya daha az süreli hapis cezası ertelenebilir. Mahkûm olduğu hapis cezası ertelenen hükümlü hakkında, kamu kurumu niteliğindeki meslek kuruluşunun iznine tabi meslek veya sanatı icra etmekten yoksunluğun uygulanmamasına karar verilebilir; ertelenen ceza bir yıl veya daha az süreli ise TCK m.53/1 hükmü hiç uygulanmaz. Müvekkilin mesleğini sürdürmesinin, kendisi ve büro çalışanları bakımından taşıdığı önem gözetilerek bu yönde karar verilmesi gerekir.</w:t>
      </w:r>
    </w:p>
    <w:p>
      <w:pPr>
        <w:spacing w:after="160"/>
        <w:jc w:val="left"/>
      </w:pPr>
      <w:r>
        <w:rPr>
          <w:b/>
        </w:rPr>
        <w:t>SONUÇ VE İSTEM</w:t>
      </w:r>
    </w:p>
    <w:p>
      <w:pPr>
        <w:spacing w:after="160"/>
        <w:jc w:val="left"/>
      </w:pPr>
      <w:r>
        <w:rPr>
          <w:b w:val="0"/>
        </w:rPr>
        <w:t>Açıklanan nedenlerle;</w:t>
        <w:br/>
      </w:r>
      <w:r>
        <w:rPr>
          <w:b w:val="0"/>
        </w:rPr>
        <w:t>1. Müvekkilin üzerine atılı suçtan beraatine (CMK m.223/2),</w:t>
        <w:br/>
      </w:r>
      <w:r>
        <w:rPr>
          <w:b w:val="0"/>
        </w:rPr>
        <w:t>2. Kabul anlamına gelmemek kaydıyla, Mahkemeniz aksi kanaatte ise cezanın belirlenmesinde TCK m.62 uyarınca takdiri indirim uygulanmasına ve hükmün açıklanmasının geri bırakılmasına (CMK m.231/5),</w:t>
        <w:br/>
      </w:r>
      <w:r>
        <w:rPr>
          <w:b w:val="0"/>
        </w:rPr>
        <w:t>3. Bunun da mümkün görülmemesi hâlinde, hapis cezasının ertelenmesine (TCK m.51/1) ve TCK m.53/1-e’deki hak yoksunluğunun uygulanmamasına (TCK m.53/3)</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Serbest muhasebeci mali müşavirlik ruhsatı ve oda kayıt belgesi; adli sicil kaydı; büro çalışanlarına ilişkin SGK kayıtları; müvekkilin mesleki geçmişine ilişkin belgeler</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