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CUMHURİYET BAŞSAVCILIĞINA</w:t>
      </w:r>
    </w:p>
    <w:p>
      <w:pPr>
        <w:spacing w:after="160"/>
        <w:jc w:val="left"/>
      </w:pPr>
      <w:r>
        <w:rPr>
          <w:b w:val="0"/>
        </w:rPr>
        <w:t>MÜŞTEKİ (MAĞDUR): [Ad Soyad], T.C. Kimlik No: [●], [adres]</w:t>
        <w:br/>
      </w:r>
      <w:r>
        <w:rPr>
          <w:b w:val="0"/>
        </w:rPr>
        <w:t>VEKİLİ: Av. [Ad Soyad], [●] Barosu, sicil no [●], [adres]</w:t>
        <w:br/>
      </w:r>
      <w:r>
        <w:rPr>
          <w:b w:val="0"/>
        </w:rPr>
        <w:t>ŞÜPHELİLER: [Ad Soyad veya kullanıcı adı], [telefon numarası], [Telegram / WhatsApp kullanıcı adı] ve soruşturma sırasında tespit edilecek diğer kişiler</w:t>
        <w:br/>
      </w:r>
      <w:r>
        <w:rPr>
          <w:b w:val="0"/>
        </w:rPr>
        <w:t>SUÇ: Nitelikli tehdit, yağmaya teşebbüs ve şantaj (TCK m.106, 107, 148, 149)</w:t>
        <w:br/>
      </w:r>
      <w:r>
        <w:rPr>
          <w:b w:val="0"/>
        </w:rPr>
        <w:t>SUÇ TARİHİ: [●] tarihinden itibaren devam etmektedir</w:t>
        <w:br/>
      </w:r>
      <w:r>
        <w:rPr>
          <w:b w:val="0"/>
        </w:rPr>
        <w:t>KONU: Şüpheliler hakkında suç duyurusunda bulunulması, delillerin toplanması ve müvekkil ile ailesinin korunması için gerekli tedbirlerin alınması talebimizdir.</w:t>
      </w:r>
    </w:p>
    <w:p>
      <w:pPr>
        <w:spacing w:after="160"/>
        <w:jc w:val="left"/>
      </w:pPr>
      <w:r>
        <w:rPr>
          <w:b/>
        </w:rPr>
        <w:t>AÇIKLAMALAR</w:t>
      </w:r>
    </w:p>
    <w:p>
      <w:pPr>
        <w:spacing w:after="160"/>
        <w:jc w:val="both"/>
      </w:pPr>
      <w:r>
        <w:rPr>
          <w:b w:val="0"/>
        </w:rPr>
        <w:t>Müvekkil, [●] tarihinde [sosyal medya / iş ilanı] üzerinden tanıştığı ve kendisini [●] olarak tanıtan kişinin “e-ticaret tahsilatı” için banka hesabına ve kartına ihtiyaç duyduğunu söylemesi üzerine [Banka Unvanı] nezdindeki hesabına ait kartı ve internet bankacılığı bilgilerini bu kişiye vermiştir. Müvekkil, hesabının yasa dışı bahis ödemelerinde kullanıldığından şüphelendiği [●] tarihinde bankasına başvurarak kartını iptal ettirmiş ve internet bankacılığı şifresini değiştirmiştir. Bu tarihten itibaren müvekkile [telefon numaraları] numaralı hatlardan ve [kullanıcı adı] kullanıcı adlı hesaplardan mesajlar gönderilmiş, hesabın yeniden açılması ve hesapta bulunan [●] TL’nin gösterilecek hesaplara gönderilmesi istenmiş, aksi hâlde müvekkilin ve ailesinin zarar göreceği bildirilmiştir. Mesajların ekran görüntüleri ve arama kayıtları ekte sunulmuştur. Şüphelilerin eylemleri ve taleplerimiz aşağıda sırasıyla açıklanmıştır.</w:t>
      </w:r>
    </w:p>
    <w:p>
      <w:pPr>
        <w:spacing w:after="160"/>
        <w:jc w:val="both"/>
      </w:pPr>
      <w:r>
        <w:rPr>
          <w:b w:val="0"/>
        </w:rPr>
        <w:t>1. Şüpheliler müvekkili hayatına ve ailesine yönelik saldırı ile, bir suç örgütünün gücüne dayanarak tehdit etmiştir (TCK m.106/1, 106/2-c, d)</w:t>
      </w:r>
    </w:p>
    <w:p>
      <w:pPr>
        <w:spacing w:after="160"/>
        <w:jc w:val="both"/>
      </w:pPr>
      <w:r>
        <w:rPr>
          <w:b w:val="0"/>
        </w:rPr>
        <w:t>Şüpheliler [●] tarihli mesajlarında “[mesaj metni]” ifadelerini kullanarak müvekkilin ve ailesinin hayatına ve vücut bütünlüğüne yönelik saldırı gerçekleştirileceğini bildirmiştir. Mesajların farklı hatlardan ve hesaplardan gönderilmesi suçun birden fazla kişi tarafından birlikte işlendiğini, mesajlarda kullanılan “[mesaj metni]” ifadeleri ise şüphelilerin arkalarındaki yapının korkutucu gücünden yararlandıklarını göstermektedir. Kanun bu hâlleri iki yıldan yedi yıla kadar hapis cezası gerektiren nitelikli tehdit olarak düzenlemiştir.</w:t>
      </w:r>
    </w:p>
    <w:p>
      <w:pPr>
        <w:spacing w:after="160"/>
        <w:jc w:val="both"/>
      </w:pPr>
      <w:r>
        <w:rPr>
          <w:b w:val="0"/>
        </w:rPr>
        <w:t>2. “Borç” adı altında para ve senet istenmesi yağmaya teşebbüs niteliğindedir; kumar ve bahisten doğan bir alacak hukuken talep edilemez (TCK m.35, 148/1-2, 149/1-c, f, 150/1; TBK m.604, 605)</w:t>
      </w:r>
    </w:p>
    <w:p>
      <w:pPr>
        <w:spacing w:after="160"/>
        <w:jc w:val="both"/>
      </w:pPr>
      <w:r>
        <w:rPr>
          <w:b w:val="0"/>
        </w:rPr>
        <w:t>Şüpheliler müvekkilden [●] TL ödemesini ve [●] TL bedelli bir senet imzalamasını istemiş, bunun karşılığında müvekkili ve ailesini rahat bırakacaklarını bildirmiştir. Tehditle bir malın teslimine veya senet imzalanmasına mecbur kılma yağma suçunu oluşturur; fiil birden fazla kişi tarafından ve bir suç örgütünün korkutucu gücünden yararlanılarak gerçekleştirildiğinden nitelikli yağma hükümleri uygulanmalıdır. Müvekkil istenen ödemeyi yapmadığından suç teşebbüs aşamasında kalmıştır. Kanunun alacak tahsiline ilişkin istisnası hukuki bir ilişkiye dayanan alacağı arar. Şüphelilerin ileri sürdüğü “borç” ise kanun gereğince dava ve takip edilemeyen kumar ve bahis alacağı niteliğindedir; bu nedenle bu istisna uygulanamaz.</w:t>
      </w:r>
    </w:p>
    <w:p>
      <w:pPr>
        <w:spacing w:after="160"/>
        <w:jc w:val="both"/>
      </w:pPr>
      <w:r>
        <w:rPr>
          <w:b w:val="0"/>
        </w:rPr>
        <w:t>3. Hesap bilgilerinin ifşa edileceği tehdidi şantaj niteliğindedir (TCK m.107)</w:t>
      </w:r>
    </w:p>
    <w:p>
      <w:pPr>
        <w:spacing w:after="160"/>
        <w:jc w:val="both"/>
      </w:pPr>
      <w:r>
        <w:rPr>
          <w:b w:val="0"/>
        </w:rPr>
        <w:t>Şüpheliler [●] tarihli mesajlarında, müvekkilin kimlik ve hesap bilgilerini ailesine ve işyerine göndereceklerini bildirerek müvekkilden hesabı yeniden açmasını istemiştir. Bir kimseyi kanuna aykırı veya yükümlü olmadığı bir şeyi yapmaya zorlamak amacıyla bu şekilde tehditte bulunulması şantaj suçunu oluşturur.</w:t>
      </w:r>
    </w:p>
    <w:p>
      <w:pPr>
        <w:spacing w:after="160"/>
        <w:jc w:val="both"/>
      </w:pPr>
      <w:r>
        <w:rPr>
          <w:b w:val="0"/>
        </w:rPr>
        <w:t>4. Müvekkil kartın ve hesabın kullanımını sona erdirmek için gerekli bildirimleri yapmıştır (5464 sayılı Kanun m.16)</w:t>
      </w:r>
    </w:p>
    <w:p>
      <w:pPr>
        <w:spacing w:after="160"/>
        <w:jc w:val="both"/>
      </w:pPr>
      <w:r>
        <w:rPr>
          <w:b w:val="0"/>
        </w:rPr>
        <w:t>Müvekkil, kartının ve şifresinin başkası tarafından kullanıldığından şüphelendiği gün bankasına başvurmuş, kartını iptal ettirmiş ve internet bankacılığı şifresini değiştirmiştir. Hesapta bulunan [●] TL’ye müvekkil tarafından dokunulmamıştır. Bu paranın kaynağının tespiti ve gerekli koruma tedbirlerinin uygulanması için hesap kayıtlarının bankadan getirtilmesini talep ederiz.</w:t>
      </w:r>
    </w:p>
    <w:p>
      <w:pPr>
        <w:spacing w:after="160"/>
        <w:jc w:val="both"/>
      </w:pPr>
      <w:r>
        <w:rPr>
          <w:b w:val="0"/>
        </w:rPr>
        <w:t>5. Müvekkilin ve ailesinin kimliği gizli tutulmalı ve koruma tedbirleri uygulanmalıdır (CMK m.58/2, 58/5; 5726 sayılı Kanun m.3/1-b, 4, 5/1-a, ç, 6/1)</w:t>
      </w:r>
    </w:p>
    <w:p>
      <w:pPr>
        <w:spacing w:after="160"/>
        <w:jc w:val="both"/>
      </w:pPr>
      <w:r>
        <w:rPr>
          <w:b w:val="0"/>
        </w:rPr>
        <w:t>Şüphelilerin bir örgütün faaliyeti çerçevesinde hareket ettikleri ve müvekkilin ikamet adresini ve ailesini bildikleri anlaşılmaktadır. Müvekkilin kimliğinin ortaya çıkması kendisi ve yakınları için ağır bir tehlike oluşturacağından, kimlik ve adres bilgilerinin gizli tutulmasına, tebligat için ayrı bir adres belirlenmesine ve gerekli görülmesi hâlinde fizikî koruma sağlanmasına karar verilmelidir.</w:t>
      </w:r>
    </w:p>
    <w:p>
      <w:pPr>
        <w:spacing w:after="160"/>
        <w:jc w:val="both"/>
      </w:pPr>
      <w:r>
        <w:rPr>
          <w:b w:val="0"/>
        </w:rPr>
        <w:t>6. Delillerin gecikmeksizin toplanması gerekmektedir (CMK m.135/6, 160/2)</w:t>
      </w:r>
    </w:p>
    <w:p>
      <w:pPr>
        <w:spacing w:after="160"/>
        <w:jc w:val="both"/>
      </w:pPr>
      <w:r>
        <w:rPr>
          <w:b w:val="0"/>
        </w:rPr>
        <w:t>Tehdit mesajlarının gönderildiği hatların ve hesapların kime ait olduğu, bu hatların iletişiminin tespitiyle ve ilgili işletmecilerden alınacak abone kayıtlarıyla ortaya konulabilecektir. Mesajlaşma uygulamalarındaki hesaplara ait kayıtların, müvekkilin hesabına ilişkin işlem ve erişim kayıtlarının ve şüphelilerin gösterdiği hesap bilgilerinin de gecikmeksizin getirtilmesi gerekmektedir.</w:t>
      </w:r>
    </w:p>
    <w:p>
      <w:pPr>
        <w:spacing w:after="160"/>
        <w:jc w:val="left"/>
      </w:pPr>
      <w:r>
        <w:rPr>
          <w:b/>
        </w:rPr>
        <w:t>DELİLLER</w:t>
      </w:r>
    </w:p>
    <w:p>
      <w:pPr>
        <w:spacing w:after="160"/>
        <w:jc w:val="both"/>
      </w:pPr>
      <w:r>
        <w:rPr>
          <w:b w:val="0"/>
        </w:rPr>
        <w:t>Mesajların ekran görüntüleri ve telefon cihazı incelemesi; arama kayıtları; abone ve iletişimin tespiti kayıtları; banka hesap, kart iptal ve erişim kayıtları; şüphelilerin gösterdiği hesap bilgileri; tanık beyanları ve her türlü yasal delil.</w:t>
      </w:r>
    </w:p>
    <w:p>
      <w:pPr>
        <w:spacing w:after="160"/>
        <w:jc w:val="left"/>
      </w:pPr>
      <w:r>
        <w:rPr>
          <w:b/>
        </w:rPr>
        <w:t>HUKUKİ SEBEPLER</w:t>
      </w:r>
    </w:p>
    <w:p>
      <w:pPr>
        <w:spacing w:after="160"/>
        <w:jc w:val="both"/>
      </w:pPr>
      <w:r>
        <w:rPr>
          <w:b w:val="0"/>
        </w:rPr>
        <w:t>5271 sayılı Ceza Muhakemesi Kanunu m.58, 135, 158, 160, 234; 5237 sayılı Türk Ceza Kanunu m.35, 106, 107, 148, 149, 150; 6098 sayılı Türk Borçlar Kanunu m.604, 605; 5464 sayılı Kanun m.16; 5726 sayılı Tanık Koruma Kanunu m.3, 4, 5, 6 ve ilgili mevzuat.</w:t>
      </w:r>
    </w:p>
    <w:p>
      <w:pPr>
        <w:spacing w:after="160"/>
        <w:jc w:val="left"/>
      </w:pPr>
      <w:r>
        <w:rPr>
          <w:b/>
        </w:rPr>
        <w:t>SONUÇ VE İSTEM</w:t>
      </w:r>
    </w:p>
    <w:p>
      <w:pPr>
        <w:spacing w:after="160"/>
        <w:jc w:val="left"/>
      </w:pPr>
      <w:r>
        <w:rPr>
          <w:b w:val="0"/>
        </w:rPr>
        <w:t>Açıklanan nedenlerle;</w:t>
        <w:br/>
      </w:r>
      <w:r>
        <w:rPr>
          <w:b w:val="0"/>
        </w:rPr>
        <w:t>1. Şüpheliler hakkında nitelikli tehdit, nitelikli yağmaya teşebbüs ve şantaj suçlarından soruşturma başlatılmasına ve kamu davası açılmasına,</w:t>
        <w:br/>
      </w:r>
      <w:r>
        <w:rPr>
          <w:b w:val="0"/>
        </w:rPr>
        <w:t>2. Tehdit mesajlarının gönderildiği hatlar ve hesaplar bakımından iletişimin tespiti ve abone kayıtlarının getirtilmesine, müvekkilin hesap ve kart kayıtlarının bankadan istenmesine,</w:t>
        <w:br/>
      </w:r>
      <w:r>
        <w:rPr>
          <w:b w:val="0"/>
        </w:rPr>
        <w:t>3. Müvekkilin kimlik ve adres bilgilerinin gizli tutulmasına, tebligat için ayrı adres belirlenmesine ve gerekli görülmesi hâlinde fizikî koruma tedbiri uygulanmasına,</w:t>
        <w:br/>
      </w:r>
      <w:r>
        <w:rPr>
          <w:b w:val="0"/>
        </w:rPr>
        <w:t>karar verilmesini saygılarımızla arz ve talep ederiz.</w:t>
      </w:r>
    </w:p>
    <w:p>
      <w:pPr>
        <w:spacing w:after="160"/>
        <w:jc w:val="left"/>
      </w:pPr>
      <w:r>
        <w:rPr>
          <w:b w:val="0"/>
        </w:rPr>
        <w:t>[Tarih]</w:t>
        <w:br/>
      </w:r>
      <w:r>
        <w:rPr>
          <w:b w:val="0"/>
        </w:rPr>
        <w:t>Müşteki Vekili</w:t>
        <w:br/>
      </w:r>
      <w:r>
        <w:rPr>
          <w:b w:val="0"/>
        </w:rPr>
        <w:t>Av. [Ad Soyad]</w:t>
        <w:br/>
      </w:r>
      <w:r>
        <w:rPr>
          <w:b w:val="0"/>
        </w:rPr>
        <w:t>[e-imza]</w:t>
      </w:r>
    </w:p>
    <w:p>
      <w:pPr>
        <w:spacing w:after="160"/>
        <w:jc w:val="both"/>
      </w:pPr>
      <w:r>
        <w:rPr>
          <w:b w:val="0"/>
        </w:rPr>
        <w:t>EKLER: Vekâletname; mesaj ekran görüntüleri; arama kayıtları; banka başvuru ve kart iptal belgeleri.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