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center"/>
      </w:pPr>
      <w:r>
        <w:rPr>
          <w:rFonts w:ascii="Times New Roman" w:cs="Times New Roman" w:eastAsia="Times New Roman" w:hAnsi="Times New Roman"/>
          <w:b/>
          <w:bCs/>
          <w:sz w:val="26"/>
          <w:szCs w:val="26"/>
        </w:rPr>
        <w:t xml:space="preserve">SORUŞTURMA İZNİ VERİLMEMESİNE KARŞI İPTAL DAVASI DİLEKÇESİ ÖRNEĞİ</w:t>
      </w:r>
    </w:p>
    <w:p>
      <w:pPr>
        <w:spacing w:after="200"/>
        <w:jc w:val="center"/>
      </w:pPr>
      <w:r>
        <w:rPr>
          <w:rFonts w:ascii="Times New Roman" w:cs="Times New Roman" w:eastAsia="Times New Roman" w:hAnsi="Times New Roman"/>
          <w:b/>
          <w:bCs/>
          <w:sz w:val="24"/>
          <w:szCs w:val="24"/>
        </w:rPr>
        <w:t xml:space="preserve">ANKARA NÖBETÇİ İDARE MAHKEMESİ BAŞKANLIĞINA</w:t>
      </w:r>
    </w:p>
    <w:p>
      <w:pPr>
        <w:spacing w:after="220"/>
        <w:jc w:val="center"/>
      </w:pPr>
      <w:r>
        <w:rPr>
          <w:rFonts w:ascii="Times New Roman" w:cs="Times New Roman" w:eastAsia="Times New Roman" w:hAnsi="Times New Roman"/>
          <w:b/>
          <w:bCs/>
          <w:sz w:val="22"/>
          <w:szCs w:val="22"/>
        </w:rPr>
        <w:t xml:space="preserve">YÜRÜTMENİN DURDURULMASI TALEPLİDİR</w:t>
      </w:r>
    </w:p>
    <w:p>
      <w:pPr>
        <w:spacing w:after="120"/>
      </w:pPr>
      <w:r>
        <w:rPr>
          <w:rFonts w:ascii="Times New Roman" w:cs="Times New Roman" w:eastAsia="Times New Roman" w:hAnsi="Times New Roman"/>
          <w:b/>
          <w:bCs/>
          <w:sz w:val="22"/>
          <w:szCs w:val="22"/>
        </w:rPr>
        <w:t xml:space="preserve">DAVACI: </w:t>
      </w:r>
      <w:r>
        <w:rPr>
          <w:rFonts w:ascii="Times New Roman" w:cs="Times New Roman" w:eastAsia="Times New Roman" w:hAnsi="Times New Roman"/>
          <w:sz w:val="22"/>
          <w:szCs w:val="22"/>
        </w:rPr>
        <w:t xml:space="preserve">[Ad Soyad] (T.C. [Kimlik No]) — [Açık adres] — [Telefon] — [E-posta]</w:t>
      </w:r>
    </w:p>
    <w:p>
      <w:pPr>
        <w:spacing w:after="120"/>
      </w:pPr>
      <w:r>
        <w:rPr>
          <w:rFonts w:ascii="Times New Roman" w:cs="Times New Roman" w:eastAsia="Times New Roman" w:hAnsi="Times New Roman"/>
          <w:b/>
          <w:bCs/>
          <w:sz w:val="22"/>
          <w:szCs w:val="22"/>
        </w:rPr>
        <w:t xml:space="preserve">VEKİLİ: </w:t>
      </w:r>
      <w:r>
        <w:rPr>
          <w:rFonts w:ascii="Times New Roman" w:cs="Times New Roman" w:eastAsia="Times New Roman" w:hAnsi="Times New Roman"/>
          <w:sz w:val="22"/>
          <w:szCs w:val="22"/>
        </w:rPr>
        <w:t xml:space="preserve">Av. [Ad Soyad] — [Baro ve sicil no] (vekil yoksa bu satırı çıkarın)</w:t>
      </w:r>
    </w:p>
    <w:p>
      <w:pPr>
        <w:spacing w:after="120"/>
      </w:pPr>
      <w:r>
        <w:rPr>
          <w:rFonts w:ascii="Times New Roman" w:cs="Times New Roman" w:eastAsia="Times New Roman" w:hAnsi="Times New Roman"/>
          <w:b/>
          <w:bCs/>
          <w:sz w:val="22"/>
          <w:szCs w:val="22"/>
        </w:rPr>
        <w:t xml:space="preserve">DAVALI: </w:t>
      </w:r>
      <w:r>
        <w:rPr>
          <w:rFonts w:ascii="Times New Roman" w:cs="Times New Roman" w:eastAsia="Times New Roman" w:hAnsi="Times New Roman"/>
          <w:sz w:val="22"/>
          <w:szCs w:val="22"/>
        </w:rPr>
        <w:t xml:space="preserve">Adalet Bakanlığı — Ankara</w:t>
      </w:r>
    </w:p>
    <w:p>
      <w:pPr>
        <w:spacing w:after="120"/>
      </w:pPr>
      <w:r>
        <w:rPr>
          <w:rFonts w:ascii="Times New Roman" w:cs="Times New Roman" w:eastAsia="Times New Roman" w:hAnsi="Times New Roman"/>
          <w:b/>
          <w:bCs/>
          <w:sz w:val="22"/>
          <w:szCs w:val="22"/>
        </w:rPr>
        <w:t xml:space="preserve">D. KONUSU: </w:t>
      </w:r>
      <w:r>
        <w:rPr>
          <w:rFonts w:ascii="Times New Roman" w:cs="Times New Roman" w:eastAsia="Times New Roman" w:hAnsi="Times New Roman"/>
          <w:sz w:val="22"/>
          <w:szCs w:val="22"/>
        </w:rPr>
        <w:t xml:space="preserve">Adalet Bakanlığı Ceza İşleri Genel Müdürlüğünün …/…/20… tarihli ve … sayılı, Av. [Ad Soyad] hakkında soruşturma izni verilmesine yer olmadığına ilişkin işleminin iptali ile yürütmesinin durdurulması istemidir.</w:t>
      </w:r>
    </w:p>
    <w:p>
      <w:pPr>
        <w:spacing w:after="120"/>
      </w:pPr>
      <w:r>
        <w:rPr>
          <w:rFonts w:ascii="Times New Roman" w:cs="Times New Roman" w:eastAsia="Times New Roman" w:hAnsi="Times New Roman"/>
          <w:b/>
          <w:bCs/>
          <w:sz w:val="22"/>
          <w:szCs w:val="22"/>
        </w:rPr>
        <w:t xml:space="preserve">TEBLİĞ TARİHİ: </w:t>
      </w:r>
      <w:r>
        <w:rPr>
          <w:rFonts w:ascii="Times New Roman" w:cs="Times New Roman" w:eastAsia="Times New Roman" w:hAnsi="Times New Roman"/>
          <w:sz w:val="22"/>
          <w:szCs w:val="22"/>
        </w:rPr>
        <w:t xml:space="preserve">…/…/20…</w:t>
      </w:r>
    </w:p>
    <w:p>
      <w:pPr>
        <w:spacing w:after="140" w:line="300"/>
        <w:jc w:val="both"/>
      </w:pPr>
      <w:r>
        <w:rPr>
          <w:rFonts w:ascii="Times New Roman" w:cs="Times New Roman" w:eastAsia="Times New Roman" w:hAnsi="Times New Roman"/>
          <w:b/>
          <w:bCs/>
          <w:sz w:val="22"/>
          <w:szCs w:val="22"/>
        </w:rPr>
        <w:t xml:space="preserve">AÇIKLAMALAR</w:t>
      </w:r>
    </w:p>
    <w:p>
      <w:pPr>
        <w:spacing w:after="100" w:before="260"/>
      </w:pPr>
      <w:r>
        <w:rPr>
          <w:rFonts w:ascii="Times New Roman" w:cs="Times New Roman" w:eastAsia="Times New Roman" w:hAnsi="Times New Roman"/>
          <w:b/>
          <w:bCs/>
          <w:sz w:val="22"/>
          <w:szCs w:val="22"/>
        </w:rPr>
        <w:t xml:space="preserve">1. DAVA KONUSU İŞLEM İDARİ İŞLEM NİTELİĞİNDEDİR VE İPTAL DAVASINA KONU OLABİLİR (1136 sayılı Kanun m.58, m.59; 2577 sayılı Kanun m.2)</w:t>
      </w:r>
    </w:p>
    <w:p>
      <w:pPr>
        <w:spacing w:after="140" w:line="300"/>
        <w:jc w:val="both"/>
      </w:pPr>
      <w:r>
        <w:rPr>
          <w:rFonts w:ascii="Times New Roman" w:cs="Times New Roman" w:eastAsia="Times New Roman" w:hAnsi="Times New Roman"/>
          <w:b w:val="false"/>
          <w:bCs w:val="false"/>
          <w:sz w:val="22"/>
          <w:szCs w:val="22"/>
        </w:rPr>
        <w:t xml:space="preserve">Adalet Bakanlığının 1136 sayılı Avukatlık Kanunu m.58 ve m.59 uyarınca soruşturmaya ve kovuşturmaya izin verme ya da vermeme işlemleri idari işlem niteliğindedir. Nitekim Adalet Bakanlığı Ceza İşleri Genel Müdürlüğü de bu işlemlere karşı müşteki ile şikâyet edilen avukatın idari dava açma hakkının bulunduğunu açıkça belirtmiştir. 2577 sayılı Kanun m.2/1-a uyarınca idari işlemler hakkında yetki, şekil, sebep, konu ve maksat yönlerinden biri ile hukuka aykırı olduklarından dolayı iptalleri için menfaatleri ihlal edilenler tarafından açılan davalar iptal davasıdır.</w:t>
      </w:r>
    </w:p>
    <w:p>
      <w:pPr>
        <w:spacing w:after="100" w:before="260"/>
      </w:pPr>
      <w:r>
        <w:rPr>
          <w:rFonts w:ascii="Times New Roman" w:cs="Times New Roman" w:eastAsia="Times New Roman" w:hAnsi="Times New Roman"/>
          <w:b/>
          <w:bCs/>
          <w:sz w:val="22"/>
          <w:szCs w:val="22"/>
        </w:rPr>
        <w:t xml:space="preserve">2. DAVA SÜRESİNDE AÇILMIŞTIR (2577 sayılı Kanun m.7, m.8)</w:t>
      </w:r>
    </w:p>
    <w:p>
      <w:pPr>
        <w:spacing w:after="140" w:line="300"/>
        <w:jc w:val="both"/>
      </w:pPr>
      <w:r>
        <w:rPr>
          <w:rFonts w:ascii="Times New Roman" w:cs="Times New Roman" w:eastAsia="Times New Roman" w:hAnsi="Times New Roman"/>
          <w:b w:val="false"/>
          <w:bCs w:val="false"/>
          <w:sz w:val="22"/>
          <w:szCs w:val="22"/>
        </w:rPr>
        <w:t xml:space="preserve">Dava konusu işlem tarafıma …/…/20… tarihinde tebliğ edilmiştir. 2577 sayılı Kanun m.7/1 uyarınca dava açma süresi, özel kanunlarında ayrı süre gösterilmeyen hâllerde idare mahkemelerinde altmış gündür. Aynı Kanunun m.8/1’i uyarınca süreler, tebliğ, yayın veya ilan tarihini izleyen günden itibaren işlemeye başlar. İşbu dava, tebliğ tarihini izleyen günden itibaren altmış günlük süre içinde açılmıştır.</w:t>
      </w:r>
    </w:p>
    <w:p>
      <w:pPr>
        <w:spacing w:after="100" w:before="260"/>
      </w:pPr>
      <w:r>
        <w:rPr>
          <w:rFonts w:ascii="Times New Roman" w:cs="Times New Roman" w:eastAsia="Times New Roman" w:hAnsi="Times New Roman"/>
          <w:b/>
          <w:bCs/>
          <w:sz w:val="22"/>
          <w:szCs w:val="22"/>
        </w:rPr>
        <w:t xml:space="preserve">3. MENFAATİM İHLAL EDİLMİŞTİR</w:t>
      </w:r>
    </w:p>
    <w:p>
      <w:pPr>
        <w:spacing w:after="140" w:line="300"/>
        <w:jc w:val="both"/>
      </w:pPr>
      <w:r>
        <w:rPr>
          <w:rFonts w:ascii="Times New Roman" w:cs="Times New Roman" w:eastAsia="Times New Roman" w:hAnsi="Times New Roman"/>
          <w:b w:val="false"/>
          <w:bCs w:val="false"/>
          <w:sz w:val="22"/>
          <w:szCs w:val="22"/>
        </w:rPr>
        <w:t xml:space="preserve">Şikâyete konu fiil nedeniyle suçtan zarar gören sıfatını taşımaktayım. Soruşturma izni verilmemesi işlemi, hakkımdaki şikâyetin esasının hiçbir şekilde incelenmemesi ve dosyanın işlemden kaldırılması sonucunu doğurmuştur. Bu itibarla dava konusu işlem menfaatimi doğrudan ihlal etmektedir.</w:t>
      </w:r>
    </w:p>
    <w:p>
      <w:pPr>
        <w:spacing w:after="100" w:before="260"/>
      </w:pPr>
      <w:r>
        <w:rPr>
          <w:rFonts w:ascii="Times New Roman" w:cs="Times New Roman" w:eastAsia="Times New Roman" w:hAnsi="Times New Roman"/>
          <w:b/>
          <w:bCs/>
          <w:sz w:val="22"/>
          <w:szCs w:val="22"/>
        </w:rPr>
        <w:t xml:space="preserve">4. ŞİKÂYETE KONU FİİL VE VEKÂLET İLİŞKİSİ</w:t>
      </w:r>
    </w:p>
    <w:p>
      <w:pPr>
        <w:spacing w:after="140" w:line="300"/>
        <w:jc w:val="both"/>
      </w:pPr>
      <w:r>
        <w:rPr>
          <w:rFonts w:ascii="Times New Roman" w:cs="Times New Roman" w:eastAsia="Times New Roman" w:hAnsi="Times New Roman"/>
          <w:b w:val="false"/>
          <w:bCs w:val="false"/>
          <w:sz w:val="22"/>
          <w:szCs w:val="22"/>
        </w:rPr>
        <w:t xml:space="preserve">Av. [Ad Soyad]’a …/…/20… tarihinde [ … ] Noterliğinin … yevmiye numaralı vekâletnamesi ile vekâlet verilmiştir. Şüpheli avukat, [ … ] Mahkemesinin …/… esas sayılı dosyası / [ … ] İcra Müdürlüğünün …/… esas sayılı takip dosyasında vekil sıfatıyla işlem yapmıştır. Şikâyete konu fiil, [tahsil edilen paranın tarafıma ödenmemesi / dosyanın takipsiz bırakılması / süresinde kanun yoluna başvurulmaması] biçiminde gerçekleşmiştir.</w:t>
      </w:r>
    </w:p>
    <w:p>
      <w:pPr>
        <w:spacing w:after="100" w:before="260"/>
      </w:pPr>
      <w:r>
        <w:rPr>
          <w:rFonts w:ascii="Times New Roman" w:cs="Times New Roman" w:eastAsia="Times New Roman" w:hAnsi="Times New Roman"/>
          <w:b/>
          <w:bCs/>
          <w:sz w:val="22"/>
          <w:szCs w:val="22"/>
        </w:rPr>
        <w:t xml:space="preserve">5. FİİL AVUKATLIK GÖREVİNDEN DOĞMAKTADIR (1136 sayılı Kanun m.34, m.58/1, m.171)</w:t>
      </w:r>
    </w:p>
    <w:p>
      <w:pPr>
        <w:spacing w:after="140" w:line="300"/>
        <w:jc w:val="both"/>
      </w:pPr>
      <w:r>
        <w:rPr>
          <w:rFonts w:ascii="Times New Roman" w:cs="Times New Roman" w:eastAsia="Times New Roman" w:hAnsi="Times New Roman"/>
          <w:b w:val="false"/>
          <w:bCs w:val="false"/>
          <w:sz w:val="22"/>
          <w:szCs w:val="22"/>
        </w:rPr>
        <w:t xml:space="preserve">Avukatlık Kanunu m.58/1’e göre avukatların avukatlık görevlerinden doğan veya görev sırasında işledikleri suçlardan dolayı haklarında soruşturma, Adalet Bakanlığının vereceği izin üzerine yapılır. Şikâyete konu fiil, vekâlet ilişkisi içinde ve avukatlık görevi icra edilirken gerçekleşmiştir. Aynı Kanunun m.34’ü avukatların yüklendikleri görevleri özen, doğruluk ve onur içinde yerine getirmelerini, m.171/1’i ise üzerine aldıkları işi kanun hükümlerine göre ve yazılı sözleşme olmasa bile sonuna kadar takip etmelerini emretmektedir.</w:t>
      </w:r>
    </w:p>
    <w:p>
      <w:pPr>
        <w:spacing w:after="100" w:before="260"/>
      </w:pPr>
      <w:r>
        <w:rPr>
          <w:rFonts w:ascii="Times New Roman" w:cs="Times New Roman" w:eastAsia="Times New Roman" w:hAnsi="Times New Roman"/>
          <w:b/>
          <w:bCs/>
          <w:sz w:val="22"/>
          <w:szCs w:val="22"/>
        </w:rPr>
        <w:t xml:space="preserve">6. İŞLEM SEBEP UNSURU BAKIMINDAN HUKUKA AYKIRIDIR</w:t>
      </w:r>
    </w:p>
    <w:p>
      <w:pPr>
        <w:spacing w:after="140" w:line="300"/>
        <w:jc w:val="both"/>
      </w:pPr>
      <w:r>
        <w:rPr>
          <w:rFonts w:ascii="Times New Roman" w:cs="Times New Roman" w:eastAsia="Times New Roman" w:hAnsi="Times New Roman"/>
          <w:b w:val="false"/>
          <w:bCs w:val="false"/>
          <w:sz w:val="22"/>
          <w:szCs w:val="22"/>
        </w:rPr>
        <w:t xml:space="preserve">Dava konusu işlemde, şikâyet dilekçemde gösterdiğim ve toplanmasını talep ettiğim deliller toplanmamıştır. Özellikle [ … ] İcra Müdürlüğünün …/… esas sayılı dosyasının tahsilat ve reddiyat kayıtları getirtilmemiş, ödemenin yapıldığı banka hesabına ilişkin kayıtlar istenmemiş ve tanıklarım dinlenmemiştir. Eksik inceleme sonucunda tesis edilen işlem, dayandığı maddi sebep bakımından hukuka aykırıdır.</w:t>
      </w:r>
    </w:p>
    <w:p>
      <w:pPr>
        <w:spacing w:after="100" w:before="260"/>
      </w:pPr>
      <w:r>
        <w:rPr>
          <w:rFonts w:ascii="Times New Roman" w:cs="Times New Roman" w:eastAsia="Times New Roman" w:hAnsi="Times New Roman"/>
          <w:b/>
          <w:bCs/>
          <w:sz w:val="22"/>
          <w:szCs w:val="22"/>
        </w:rPr>
        <w:t xml:space="preserve">7. İŞLEM GEREKÇE BAKIMINDAN YETERSİZDİR</w:t>
      </w:r>
    </w:p>
    <w:p>
      <w:pPr>
        <w:spacing w:after="140" w:line="300"/>
        <w:jc w:val="both"/>
      </w:pPr>
      <w:r>
        <w:rPr>
          <w:rFonts w:ascii="Times New Roman" w:cs="Times New Roman" w:eastAsia="Times New Roman" w:hAnsi="Times New Roman"/>
          <w:b w:val="false"/>
          <w:bCs w:val="false"/>
          <w:sz w:val="22"/>
          <w:szCs w:val="22"/>
        </w:rPr>
        <w:t xml:space="preserve">Dava konusu işlemde, şikâyetimde ileri sürülen hususların hangi gerekçeyle yerinde görülmediği somut biçimde açıklanmamıştır. Hangi delilin nasıl değerlendirildiği ve hangi olgunun hangi sebeple kabul edilmediği gösterilmediğinden işlem, denetlenebilir bir gerekçeden yoksundur.</w:t>
      </w:r>
    </w:p>
    <w:p>
      <w:pPr>
        <w:spacing w:after="100" w:before="260"/>
      </w:pPr>
      <w:r>
        <w:rPr>
          <w:rFonts w:ascii="Times New Roman" w:cs="Times New Roman" w:eastAsia="Times New Roman" w:hAnsi="Times New Roman"/>
          <w:b/>
          <w:bCs/>
          <w:sz w:val="22"/>
          <w:szCs w:val="22"/>
        </w:rPr>
        <w:t xml:space="preserve">8. YÜRÜTMENİN DURDURULMASINA KARAR VERİLMESİ GEREKİR (2577 sayılı Kanun m.27)</w:t>
      </w:r>
    </w:p>
    <w:p>
      <w:pPr>
        <w:spacing w:after="140" w:line="300"/>
        <w:jc w:val="both"/>
      </w:pPr>
      <w:r>
        <w:rPr>
          <w:rFonts w:ascii="Times New Roman" w:cs="Times New Roman" w:eastAsia="Times New Roman" w:hAnsi="Times New Roman"/>
          <w:b w:val="false"/>
          <w:bCs w:val="false"/>
          <w:sz w:val="22"/>
          <w:szCs w:val="22"/>
        </w:rPr>
        <w:t xml:space="preserve">2577 sayılı Kanun m.27/2 uyarınca idari işlemin uygulanması hâlinde telafisi güç veya imkânsız zararların doğması ve idari işlemin açıkça hukuka aykırı olması şartlarının birlikte gerçekleşmesi durumunda yürütmenin durdurulmasına karar verilebilir. İşlemin yürütülmesi hâlinde dosya işlemden kaldırılmış olarak kalacak, deliller zamanla kaybolacak ve Türk Ceza Kanunu m.66’daki dava zamanaşımı işlemeye devam edecektir. Bu nedenle telafisi güç zarar doğacağı açıktır.</w:t>
      </w:r>
    </w:p>
    <w:p>
      <w:pPr>
        <w:spacing w:after="140" w:line="300"/>
        <w:jc w:val="both"/>
      </w:pPr>
      <w:r>
        <w:rPr>
          <w:rFonts w:ascii="Times New Roman" w:cs="Times New Roman" w:eastAsia="Times New Roman" w:hAnsi="Times New Roman"/>
          <w:b w:val="false"/>
          <w:bCs w:val="false"/>
          <w:sz w:val="22"/>
          <w:szCs w:val="22"/>
        </w:rPr>
        <w:t xml:space="preserve">HUKUKİ SEBEPLER: 2577 sayılı İdari Yargılama Usulü Kanunu m.2, m.3, m.5, m.7, m.8, m.27, m.32; 1136 sayılı Avukatlık Kanunu m.34, m.58, m.59, m.62, m.171; 5237 sayılı Türk Ceza Kanunu m.66, m.67, m.257; 5271 sayılı Ceza Muhakemesi Kanunu m.160, m.161; Adalet Bakanlığı Ceza İşleri Genel Müdürlüğünün 01.01.2006 tarihli ve 13 numaralı Genelgesi ve ilgili mevzuat.</w:t>
      </w:r>
    </w:p>
    <w:p>
      <w:pPr>
        <w:spacing w:after="140" w:line="300"/>
        <w:jc w:val="both"/>
      </w:pPr>
      <w:r>
        <w:rPr>
          <w:rFonts w:ascii="Times New Roman" w:cs="Times New Roman" w:eastAsia="Times New Roman" w:hAnsi="Times New Roman"/>
          <w:b w:val="false"/>
          <w:bCs w:val="false"/>
          <w:sz w:val="22"/>
          <w:szCs w:val="22"/>
        </w:rPr>
        <w:t xml:space="preserve">DELİLLER: Dava konusu işlem ve tebliğ zarfı, şikâyet dilekçesi ve ekleri, soruşturma dosyası (celbi talep olunur), vekâletname örneği, avukatlık ücret sözleşmesi, icra dosyası tahsilat ve reddiyat kayıtları, banka kayıtları, noter ihtarnamesi, tanık beyanları ve her türlü yasal delil.</w:t>
      </w:r>
    </w:p>
    <w:p>
      <w:pPr>
        <w:spacing w:after="140" w:line="300"/>
        <w:jc w:val="both"/>
      </w:pPr>
      <w:r>
        <w:rPr>
          <w:rFonts w:ascii="Times New Roman" w:cs="Times New Roman" w:eastAsia="Times New Roman" w:hAnsi="Times New Roman"/>
          <w:b w:val="false"/>
          <w:bCs w:val="false"/>
          <w:sz w:val="22"/>
          <w:szCs w:val="22"/>
        </w:rPr>
        <w:t xml:space="preserve">SONUÇ VE TALEP: Yukarıda açıklanan nedenlerle;</w:t>
      </w:r>
    </w:p>
    <w:p>
      <w:pPr>
        <w:spacing w:after="140" w:line="300"/>
        <w:jc w:val="both"/>
      </w:pPr>
      <w:r>
        <w:rPr>
          <w:rFonts w:ascii="Times New Roman" w:cs="Times New Roman" w:eastAsia="Times New Roman" w:hAnsi="Times New Roman"/>
          <w:b w:val="false"/>
          <w:bCs w:val="false"/>
          <w:sz w:val="22"/>
          <w:szCs w:val="22"/>
        </w:rPr>
        <w:t xml:space="preserve">1. Öncelikle 2577 sayılı Kanun m.27 uyarınca dava konusu işlemin YÜRÜTMESİNİN DURDURULMASINA,</w:t>
      </w:r>
    </w:p>
    <w:p>
      <w:pPr>
        <w:spacing w:after="140" w:line="300"/>
        <w:jc w:val="both"/>
      </w:pPr>
      <w:r>
        <w:rPr>
          <w:rFonts w:ascii="Times New Roman" w:cs="Times New Roman" w:eastAsia="Times New Roman" w:hAnsi="Times New Roman"/>
          <w:b w:val="false"/>
          <w:bCs w:val="false"/>
          <w:sz w:val="22"/>
          <w:szCs w:val="22"/>
        </w:rPr>
        <w:t xml:space="preserve">2. Davalı idareden soruşturma dosyasının aslının veya onaylı örneğinin CELBİNE,</w:t>
      </w:r>
    </w:p>
    <w:p>
      <w:pPr>
        <w:spacing w:after="140" w:line="300"/>
        <w:jc w:val="both"/>
      </w:pPr>
      <w:r>
        <w:rPr>
          <w:rFonts w:ascii="Times New Roman" w:cs="Times New Roman" w:eastAsia="Times New Roman" w:hAnsi="Times New Roman"/>
          <w:b w:val="false"/>
          <w:bCs w:val="false"/>
          <w:sz w:val="22"/>
          <w:szCs w:val="22"/>
        </w:rPr>
        <w:t xml:space="preserve">3. Yargılama sonunda dava konusu işlemin İPTALİNE,</w:t>
      </w:r>
    </w:p>
    <w:p>
      <w:pPr>
        <w:spacing w:after="140" w:line="300"/>
        <w:jc w:val="both"/>
      </w:pPr>
      <w:r>
        <w:rPr>
          <w:rFonts w:ascii="Times New Roman" w:cs="Times New Roman" w:eastAsia="Times New Roman" w:hAnsi="Times New Roman"/>
          <w:b w:val="false"/>
          <w:bCs w:val="false"/>
          <w:sz w:val="22"/>
          <w:szCs w:val="22"/>
        </w:rPr>
        <w:t xml:space="preserve">4. Yargılama giderleri ile vekâlet ücretinin davalı idare üzerinde bırakılmasına</w:t>
      </w:r>
    </w:p>
    <w:p>
      <w:pPr>
        <w:spacing w:after="140" w:line="300"/>
        <w:jc w:val="both"/>
      </w:pPr>
      <w:r>
        <w:rPr>
          <w:rFonts w:ascii="Times New Roman" w:cs="Times New Roman" w:eastAsia="Times New Roman" w:hAnsi="Times New Roman"/>
          <w:b w:val="false"/>
          <w:bCs w:val="false"/>
          <w:sz w:val="22"/>
          <w:szCs w:val="22"/>
        </w:rPr>
        <w:t xml:space="preserve">karar verilmesini saygılarımla arz ve talep ederim. [Tarih]</w:t>
      </w:r>
    </w:p>
    <w:p>
      <w:pPr>
        <w:spacing w:before="320"/>
        <w:jc w:val="right"/>
      </w:pPr>
      <w:r>
        <w:rPr>
          <w:rFonts w:ascii="Times New Roman" w:cs="Times New Roman" w:eastAsia="Times New Roman" w:hAnsi="Times New Roman"/>
          <w:sz w:val="22"/>
          <w:szCs w:val="22"/>
        </w:rPr>
        <w:t xml:space="preserve">Davacı [Vekili]</w:t>
      </w:r>
    </w:p>
    <w:p>
      <w:pPr>
        <w:spacing w:after="240"/>
        <w:jc w:val="right"/>
      </w:pPr>
      <w:r>
        <w:rPr>
          <w:rFonts w:ascii="Times New Roman" w:cs="Times New Roman" w:eastAsia="Times New Roman" w:hAnsi="Times New Roman"/>
          <w:sz w:val="22"/>
          <w:szCs w:val="22"/>
        </w:rPr>
        <w:t xml:space="preserve">[Ad Soyad] — İmza</w:t>
      </w:r>
    </w:p>
    <w:p>
      <w:pPr>
        <w:spacing w:after="80"/>
      </w:pPr>
      <w:r>
        <w:rPr>
          <w:rFonts w:ascii="Times New Roman" w:cs="Times New Roman" w:eastAsia="Times New Roman" w:hAnsi="Times New Roman"/>
          <w:b/>
          <w:bCs/>
          <w:sz w:val="22"/>
          <w:szCs w:val="22"/>
        </w:rPr>
        <w:t xml:space="preserve">EKLER:</w:t>
      </w:r>
    </w:p>
    <w:p>
      <w:pPr>
        <w:spacing w:after="80"/>
      </w:pPr>
      <w:r>
        <w:rPr>
          <w:rFonts w:ascii="Times New Roman" w:cs="Times New Roman" w:eastAsia="Times New Roman" w:hAnsi="Times New Roman"/>
          <w:b w:val="false"/>
          <w:bCs w:val="false"/>
          <w:sz w:val="22"/>
          <w:szCs w:val="22"/>
        </w:rPr>
        <w:t xml:space="preserve">Ek-1: Dava konusu işlem ve tebliğ zarfı örneği</w:t>
      </w:r>
    </w:p>
    <w:p>
      <w:pPr>
        <w:spacing w:after="80"/>
      </w:pPr>
      <w:r>
        <w:rPr>
          <w:rFonts w:ascii="Times New Roman" w:cs="Times New Roman" w:eastAsia="Times New Roman" w:hAnsi="Times New Roman"/>
          <w:b w:val="false"/>
          <w:bCs w:val="false"/>
          <w:sz w:val="22"/>
          <w:szCs w:val="22"/>
        </w:rPr>
        <w:t xml:space="preserve">Ek-2: Şikâyet dilekçesi ve ekleri</w:t>
      </w:r>
    </w:p>
    <w:p>
      <w:pPr>
        <w:spacing w:after="80"/>
      </w:pPr>
      <w:r>
        <w:rPr>
          <w:rFonts w:ascii="Times New Roman" w:cs="Times New Roman" w:eastAsia="Times New Roman" w:hAnsi="Times New Roman"/>
          <w:b w:val="false"/>
          <w:bCs w:val="false"/>
          <w:sz w:val="22"/>
          <w:szCs w:val="22"/>
        </w:rPr>
        <w:t xml:space="preserve">Ek-3: Vekâletname örneği ve ücret sözleşmesi</w:t>
      </w:r>
    </w:p>
    <w:p>
      <w:pPr>
        <w:spacing w:after="80"/>
      </w:pPr>
      <w:r>
        <w:rPr>
          <w:rFonts w:ascii="Times New Roman" w:cs="Times New Roman" w:eastAsia="Times New Roman" w:hAnsi="Times New Roman"/>
          <w:b w:val="false"/>
          <w:bCs w:val="false"/>
          <w:sz w:val="22"/>
          <w:szCs w:val="22"/>
        </w:rPr>
        <w:t xml:space="preserve">Ek-4: İcra dosyası tahsilat ve reddiyat kayıtları</w:t>
      </w:r>
    </w:p>
    <w:p>
      <w:pPr>
        <w:spacing w:after="80"/>
      </w:pPr>
      <w:r>
        <w:rPr>
          <w:rFonts w:ascii="Times New Roman" w:cs="Times New Roman" w:eastAsia="Times New Roman" w:hAnsi="Times New Roman"/>
          <w:b w:val="false"/>
          <w:bCs w:val="false"/>
          <w:sz w:val="22"/>
          <w:szCs w:val="22"/>
        </w:rPr>
        <w:t xml:space="preserve">Ek-5: Harç ve gider avansı makbuzları</w:t>
      </w:r>
    </w:p>
    <w:p>
      <w:pPr>
        <w:pBdr>
          <w:top w:val="single" w:color="C9A227" w:sz="6" w:space="8"/>
        </w:pBdr>
        <w:spacing w:before="400"/>
      </w:pPr>
      <w:r>
        <w:rPr>
          <w:rFonts w:ascii="Times New Roman" w:cs="Times New Roman" w:eastAsia="Times New Roman" w:hAnsi="Times New Roman"/>
          <w:i/>
          <w:iCs/>
          <w:sz w:val="18"/>
          <w:szCs w:val="18"/>
        </w:rPr>
        <w:t xml:space="preserve">Bu şablon Hukukçular Evi Ankara tarafından hazırlanmıştır. Köşeli parantez içindeki alanlar doldurulmalı, dosyanıza uymayan hususlar çıkarılmalıdır. Kovuşturma izni verilmemesine karşı açılacak davada başlık ve dava konusu bölümü buna göre değiştirilmelidir. Bilgi ve danışma: 0554 648 37 15 — hukukcularevi.com</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2026-09-18T09:29:39.697Z</dcterms:created>
  <dcterms:modified xsi:type="dcterms:W3CDTF">2026-09-18T09:29:39.706Z</dcterms:modified>
</cp:coreProperties>
</file>

<file path=docProps/custom.xml><?xml version="1.0" encoding="utf-8"?>
<Properties xmlns="http://schemas.openxmlformats.org/officeDocument/2006/custom-properties" xmlns:vt="http://schemas.openxmlformats.org/officeDocument/2006/docPropsVTypes"/>
</file>