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jc w:val="center"/>
      </w:pPr>
      <w:r>
        <w:rPr>
          <w:rFonts w:ascii="Times New Roman" w:cs="Times New Roman" w:eastAsia="Times New Roman" w:hAnsi="Times New Roman"/>
          <w:b/>
          <w:bCs/>
          <w:sz w:val="26"/>
          <w:szCs w:val="26"/>
        </w:rPr>
        <w:t xml:space="preserve">AVUKAT HAKKINDA SUÇ DUYURUSU DİLEKÇESİ ÖRNEĞİ</w:t>
      </w:r>
    </w:p>
    <w:p>
      <w:pPr>
        <w:spacing w:after="300"/>
        <w:jc w:val="center"/>
      </w:pPr>
      <w:r>
        <w:rPr>
          <w:rFonts w:ascii="Times New Roman" w:cs="Times New Roman" w:eastAsia="Times New Roman" w:hAnsi="Times New Roman"/>
          <w:b/>
          <w:bCs/>
          <w:sz w:val="24"/>
          <w:szCs w:val="24"/>
        </w:rPr>
        <w:t xml:space="preserve">[ … ] CUMHURİYET BAŞSAVCILIĞINA</w:t>
      </w:r>
    </w:p>
    <w:p>
      <w:pPr>
        <w:spacing w:after="120"/>
      </w:pPr>
      <w:r>
        <w:rPr>
          <w:rFonts w:ascii="Times New Roman" w:cs="Times New Roman" w:eastAsia="Times New Roman" w:hAnsi="Times New Roman"/>
          <w:b/>
          <w:bCs/>
          <w:sz w:val="22"/>
          <w:szCs w:val="22"/>
        </w:rPr>
        <w:t xml:space="preserve">ŞİKÂYETÇİ (MÜŞTEKİ): </w:t>
      </w:r>
      <w:r>
        <w:rPr>
          <w:rFonts w:ascii="Times New Roman" w:cs="Times New Roman" w:eastAsia="Times New Roman" w:hAnsi="Times New Roman"/>
          <w:sz w:val="22"/>
          <w:szCs w:val="22"/>
        </w:rPr>
        <w:t xml:space="preserve">[Ad Soyad] (T.C. [Kimlik No]) — [Açık adres] — [Telefon]</w:t>
      </w:r>
    </w:p>
    <w:p>
      <w:pPr>
        <w:spacing w:after="120"/>
      </w:pPr>
      <w:r>
        <w:rPr>
          <w:rFonts w:ascii="Times New Roman" w:cs="Times New Roman" w:eastAsia="Times New Roman" w:hAnsi="Times New Roman"/>
          <w:b/>
          <w:bCs/>
          <w:sz w:val="22"/>
          <w:szCs w:val="22"/>
        </w:rPr>
        <w:t xml:space="preserve">VEKİLİ: </w:t>
      </w:r>
      <w:r>
        <w:rPr>
          <w:rFonts w:ascii="Times New Roman" w:cs="Times New Roman" w:eastAsia="Times New Roman" w:hAnsi="Times New Roman"/>
          <w:sz w:val="22"/>
          <w:szCs w:val="22"/>
        </w:rPr>
        <w:t xml:space="preserve">Av. [Ad Soyad] — [Baro ve sicil no] (vekil yoksa bu satırı çıkarın)</w:t>
      </w:r>
    </w:p>
    <w:p>
      <w:pPr>
        <w:spacing w:after="120"/>
      </w:pPr>
      <w:r>
        <w:rPr>
          <w:rFonts w:ascii="Times New Roman" w:cs="Times New Roman" w:eastAsia="Times New Roman" w:hAnsi="Times New Roman"/>
          <w:b/>
          <w:bCs/>
          <w:sz w:val="22"/>
          <w:szCs w:val="22"/>
        </w:rPr>
        <w:t xml:space="preserve">ŞÜPHELİ: </w:t>
      </w:r>
      <w:r>
        <w:rPr>
          <w:rFonts w:ascii="Times New Roman" w:cs="Times New Roman" w:eastAsia="Times New Roman" w:hAnsi="Times New Roman"/>
          <w:sz w:val="22"/>
          <w:szCs w:val="22"/>
        </w:rPr>
        <w:t xml:space="preserve">Av. [Ad Soyad] — [ … ] Barosu, sicil no [ … ] — Büro adresi: [ … ]</w:t>
      </w:r>
    </w:p>
    <w:p>
      <w:pPr>
        <w:spacing w:after="120"/>
      </w:pPr>
      <w:r>
        <w:rPr>
          <w:rFonts w:ascii="Times New Roman" w:cs="Times New Roman" w:eastAsia="Times New Roman" w:hAnsi="Times New Roman"/>
          <w:b/>
          <w:bCs/>
          <w:sz w:val="22"/>
          <w:szCs w:val="22"/>
        </w:rPr>
        <w:t xml:space="preserve">SUÇ: </w:t>
      </w:r>
      <w:r>
        <w:rPr>
          <w:rFonts w:ascii="Times New Roman" w:cs="Times New Roman" w:eastAsia="Times New Roman" w:hAnsi="Times New Roman"/>
          <w:sz w:val="22"/>
          <w:szCs w:val="22"/>
        </w:rPr>
        <w:t xml:space="preserve">Görevi kötüye kullanma (1136 sayılı Avukatlık Kanunu m.62 yollamasıyla TCK m.257) ve güveni kötüye kullanma (TCK m.155)</w:t>
      </w:r>
    </w:p>
    <w:p>
      <w:pPr>
        <w:spacing w:after="120"/>
      </w:pPr>
      <w:r>
        <w:rPr>
          <w:rFonts w:ascii="Times New Roman" w:cs="Times New Roman" w:eastAsia="Times New Roman" w:hAnsi="Times New Roman"/>
          <w:b/>
          <w:bCs/>
          <w:sz w:val="22"/>
          <w:szCs w:val="22"/>
        </w:rPr>
        <w:t xml:space="preserve">SUÇ TARİHİ: </w:t>
      </w:r>
      <w:r>
        <w:rPr>
          <w:rFonts w:ascii="Times New Roman" w:cs="Times New Roman" w:eastAsia="Times New Roman" w:hAnsi="Times New Roman"/>
          <w:sz w:val="22"/>
          <w:szCs w:val="22"/>
        </w:rPr>
        <w:t xml:space="preserve">…/…/20… (birden çok fiil varsa tarih aralığı yazın)</w:t>
      </w:r>
    </w:p>
    <w:p>
      <w:pPr>
        <w:spacing w:after="120"/>
      </w:pPr>
      <w:r>
        <w:rPr>
          <w:rFonts w:ascii="Times New Roman" w:cs="Times New Roman" w:eastAsia="Times New Roman" w:hAnsi="Times New Roman"/>
          <w:b/>
          <w:bCs/>
          <w:sz w:val="22"/>
          <w:szCs w:val="22"/>
        </w:rPr>
        <w:t xml:space="preserve">KONU: </w:t>
      </w:r>
      <w:r>
        <w:rPr>
          <w:rFonts w:ascii="Times New Roman" w:cs="Times New Roman" w:eastAsia="Times New Roman" w:hAnsi="Times New Roman"/>
          <w:sz w:val="22"/>
          <w:szCs w:val="22"/>
        </w:rPr>
        <w:t xml:space="preserve">Şüpheli avukat hakkında 1136 sayılı Kanun m.58 uyarınca soruşturma izni istenmesi, izin üzerine soruşturma yapılarak kamu davası açılması istemidir.</w:t>
      </w:r>
    </w:p>
    <w:p>
      <w:pPr>
        <w:spacing w:after="140" w:line="300"/>
        <w:jc w:val="both"/>
      </w:pPr>
      <w:r>
        <w:rPr>
          <w:rFonts w:ascii="Times New Roman" w:cs="Times New Roman" w:eastAsia="Times New Roman" w:hAnsi="Times New Roman"/>
          <w:sz w:val="22"/>
          <w:szCs w:val="22"/>
        </w:rPr>
        <w:t xml:space="preserve">AÇIKLAMALAR</w:t>
      </w:r>
    </w:p>
    <w:p>
      <w:pPr>
        <w:spacing w:after="100" w:before="260"/>
      </w:pPr>
      <w:r>
        <w:rPr>
          <w:rFonts w:ascii="Times New Roman" w:cs="Times New Roman" w:eastAsia="Times New Roman" w:hAnsi="Times New Roman"/>
          <w:b/>
          <w:bCs/>
          <w:sz w:val="22"/>
          <w:szCs w:val="22"/>
        </w:rPr>
        <w:t xml:space="preserve">1. VEKÂLET İLİŞKİSİ KURULMUŞTUR (1136 sayılı Kanun m.35, m.171)</w:t>
      </w:r>
    </w:p>
    <w:p>
      <w:pPr>
        <w:spacing w:after="140" w:line="300"/>
        <w:jc w:val="both"/>
      </w:pPr>
      <w:r>
        <w:rPr>
          <w:rFonts w:ascii="Times New Roman" w:cs="Times New Roman" w:eastAsia="Times New Roman" w:hAnsi="Times New Roman"/>
          <w:sz w:val="22"/>
          <w:szCs w:val="22"/>
        </w:rPr>
        <w:t xml:space="preserve">Şüpheli avukata …/…/20… tarihinde [ … ] Noterliğinin … yevmiye numaralı vekâletnamesi ile vekâlet verdim. Vekâlet, [ … ] Mahkemesinin …/… esas sayılı dosyası / [ … ] İcra Müdürlüğünün …/… esas sayılı takip dosyası bakımından geçerlidir. Şüpheli, bu dosyada vekil sıfatıyla işlem yapmış ve dosyayı fiilen takip etmiştir. Avukatlık Kanunu m.171 uyarınca avukat, üzerine aldığı işi kanun hükümlerine göre ve yazılı sözleşme olmasa bile sonuna kadar takip etmekle yükümlüdür.</w:t>
      </w:r>
    </w:p>
    <w:p>
      <w:pPr>
        <w:spacing w:after="100" w:before="260"/>
      </w:pPr>
      <w:r>
        <w:rPr>
          <w:rFonts w:ascii="Times New Roman" w:cs="Times New Roman" w:eastAsia="Times New Roman" w:hAnsi="Times New Roman"/>
          <w:b/>
          <w:bCs/>
          <w:sz w:val="22"/>
          <w:szCs w:val="22"/>
        </w:rPr>
        <w:t xml:space="preserve">2. FİİL, AVUKATLIK GÖREVİNDEN DOĞMUŞTUR; SORUŞTURMA İZNİ İSTENMESİ GEREKİR (1136 sayılı Kanun m.58)</w:t>
      </w:r>
    </w:p>
    <w:p>
      <w:pPr>
        <w:spacing w:after="140" w:line="300"/>
        <w:jc w:val="both"/>
      </w:pPr>
      <w:r>
        <w:rPr>
          <w:rFonts w:ascii="Times New Roman" w:cs="Times New Roman" w:eastAsia="Times New Roman" w:hAnsi="Times New Roman"/>
          <w:sz w:val="22"/>
          <w:szCs w:val="22"/>
        </w:rPr>
        <w:t xml:space="preserve">Şikâyete konu fiil, şüphelinin avukatlık görevinden doğmuş ve görev sırasında işlenmiştir. Avukatlık Kanunu m.58/1’e göre avukatların avukatlık görevlerinden doğan veya görev sırasında işledikleri suçlardan dolayı haklarında soruşturma, Adalet Bakanlığının vereceği izin üzerine, suçun işlendiği yer Cumhuriyet savcısı tarafından yapılır. Bu nedenle dosyanın, ön inceleme tamamlandıktan sonra soruşturma izni istenmek üzere Adalet Bakanlığı Ceza İşleri Genel Müdürlüğüne gönderilmesini talep ediyorum.</w:t>
      </w:r>
    </w:p>
    <w:p>
      <w:pPr>
        <w:spacing w:after="100" w:before="260"/>
      </w:pPr>
      <w:r>
        <w:rPr>
          <w:rFonts w:ascii="Times New Roman" w:cs="Times New Roman" w:eastAsia="Times New Roman" w:hAnsi="Times New Roman"/>
          <w:b/>
          <w:bCs/>
          <w:sz w:val="22"/>
          <w:szCs w:val="22"/>
        </w:rPr>
        <w:t xml:space="preserve">3. ŞÜPHELİ, DOSYADAN TAHSİLAT YAPMIŞ ANCAK HESAP VERMEMİŞTİR (TBK m.508)</w:t>
      </w:r>
    </w:p>
    <w:p>
      <w:pPr>
        <w:spacing w:after="140" w:line="300"/>
        <w:jc w:val="both"/>
      </w:pPr>
      <w:r>
        <w:rPr>
          <w:rFonts w:ascii="Times New Roman" w:cs="Times New Roman" w:eastAsia="Times New Roman" w:hAnsi="Times New Roman"/>
          <w:sz w:val="22"/>
          <w:szCs w:val="22"/>
        </w:rPr>
        <w:t xml:space="preserve">[ … ] İcra Müdürlüğünün …/… esas sayılı dosyasında …/…/20… tarihinde [ … ] TL tahsilat yapılmış ve bu tutar şüphelinin bildirdiği hesaba ödenmiştir. Tahsilat tarafıma bildirilmemiş, hesap verilmemiş ve hiçbir ödeme yapılmamıştır. Türk Borçlar Kanunu m.508 uyarınca vekil, vekâlet verenin istemi üzerine yürüttüğü işin hesabını vermek ve vekâletle ilişkili olarak aldıklarını vekâlet verene vermekle yükümlüdür. Tahsilatı, …/…/20… tarihinde icra dosyasından aldığım tahsilat ve reddiyat kaydından öğrendim.</w:t>
      </w:r>
    </w:p>
    <w:p>
      <w:pPr>
        <w:spacing w:after="100" w:before="260"/>
      </w:pPr>
      <w:r>
        <w:rPr>
          <w:rFonts w:ascii="Times New Roman" w:cs="Times New Roman" w:eastAsia="Times New Roman" w:hAnsi="Times New Roman"/>
          <w:b/>
          <w:bCs/>
          <w:sz w:val="22"/>
          <w:szCs w:val="22"/>
        </w:rPr>
        <w:t xml:space="preserve">4. ALIKOYMA, HAPİS HAKKININ SINIRLARINI AŞMAKTADIR (1136 sayılı Kanun m.166)</w:t>
      </w:r>
    </w:p>
    <w:p>
      <w:pPr>
        <w:spacing w:after="140" w:line="300"/>
        <w:jc w:val="both"/>
      </w:pPr>
      <w:r>
        <w:rPr>
          <w:rFonts w:ascii="Times New Roman" w:cs="Times New Roman" w:eastAsia="Times New Roman" w:hAnsi="Times New Roman"/>
          <w:sz w:val="22"/>
          <w:szCs w:val="22"/>
        </w:rPr>
        <w:t xml:space="preserve">Avukatlık Kanunu m.166/1’e göre avukat, müvekkili tarafından verilen veya onun namına aldığı malları, parayı ve diğer her türlü kıymetleri, avukatlık ücreti ve giderin ödenmesine kadar, yalnızca kendi alacağı nispetinde elinde tutabilir. Aramızda …/…/20… tarihli yazılı ücret sözleşmesi bulunmakta olup kararlaştırılan ücret [ … ] TL’dir. (Yazılı sözleşme yoksa: Aramızda yazılı ücret sözleşmesi bulunmamaktadır; bu hâlde ücret, aynı Kanunun m.164/4’ü uyarınca belirlenir.) Şüphelinin ücret ve belgelendirilmiş gider alacağı en fazla [ … ] TL olabilecekken, tahsil edilen [ … ] TL’nin tamamı elde tutulmuş, tarafıma hiçbir ödeme yapılmamıştır. Alıkoyma, kanunun çizdiği miktar sınırını aşmaktadır.</w:t>
      </w:r>
    </w:p>
    <w:p>
      <w:pPr>
        <w:spacing w:after="100" w:before="260"/>
      </w:pPr>
      <w:r>
        <w:rPr>
          <w:rFonts w:ascii="Times New Roman" w:cs="Times New Roman" w:eastAsia="Times New Roman" w:hAnsi="Times New Roman"/>
          <w:b/>
          <w:bCs/>
          <w:sz w:val="22"/>
          <w:szCs w:val="22"/>
        </w:rPr>
        <w:t xml:space="preserve">5. ŞÜPHELİ, ÖDEMEYE DAVET EDİLDİĞİ HÂLDE BORCUNU YERİNE GETİRMEMİŞTİR</w:t>
      </w:r>
    </w:p>
    <w:p>
      <w:pPr>
        <w:spacing w:after="140" w:line="300"/>
        <w:jc w:val="both"/>
      </w:pPr>
      <w:r>
        <w:rPr>
          <w:rFonts w:ascii="Times New Roman" w:cs="Times New Roman" w:eastAsia="Times New Roman" w:hAnsi="Times New Roman"/>
          <w:sz w:val="22"/>
          <w:szCs w:val="22"/>
        </w:rPr>
        <w:t xml:space="preserve">…/…/20… tarihinde [ … ] Noterliğinin … yevmiye numaralı ihtarnamesi ile hesap verilmesi ve ücret ile giderler düşüldükten sonra kalan tutarın ödenmesi talep edilmiştir. İhtarname …/…/20… tarihinde tebliğ edilmiş, verilen süre içinde ne hesap verilmiş ne de ödeme yapılmıştır.</w:t>
      </w:r>
    </w:p>
    <w:p>
      <w:pPr>
        <w:spacing w:after="100" w:before="260"/>
      </w:pPr>
      <w:r>
        <w:rPr>
          <w:rFonts w:ascii="Times New Roman" w:cs="Times New Roman" w:eastAsia="Times New Roman" w:hAnsi="Times New Roman"/>
          <w:b/>
          <w:bCs/>
          <w:sz w:val="22"/>
          <w:szCs w:val="22"/>
        </w:rPr>
        <w:t xml:space="preserve">6. FİİL, GÖREV VE YETKİNİN KÖTÜYE KULLANILMASI NİTELİĞİNDEDİR (1136 sayılı Kanun m.62, TCK m.257)</w:t>
      </w:r>
    </w:p>
    <w:p>
      <w:pPr>
        <w:spacing w:after="140" w:line="300"/>
        <w:jc w:val="both"/>
      </w:pPr>
      <w:r>
        <w:rPr>
          <w:rFonts w:ascii="Times New Roman" w:cs="Times New Roman" w:eastAsia="Times New Roman" w:hAnsi="Times New Roman"/>
          <w:sz w:val="22"/>
          <w:szCs w:val="22"/>
        </w:rPr>
        <w:t xml:space="preserve">Avukatlık Kanunu m.62’ye göre bu Kanun ve diğer kanunlar gereğince avukat sıfatıyla kendisine verilmiş bulunan görev ve yetkiyi kötüye kullanan avukat, Türk Ceza Kanunu m.257 hükümlerine göre cezalandırılır. Şüpheli, tahsilat yetkisini müvekkilinin zararına kullanmış; tahsil ettiği parayı bildirmeyerek ve ödemeyerek görevinin gereklerine aykırı hareket etmiş, tarafımın mağduriyetine sebep olmuştur.</w:t>
      </w:r>
    </w:p>
    <w:p>
      <w:pPr>
        <w:spacing w:after="100" w:before="260"/>
      </w:pPr>
      <w:r>
        <w:rPr>
          <w:rFonts w:ascii="Times New Roman" w:cs="Times New Roman" w:eastAsia="Times New Roman" w:hAnsi="Times New Roman"/>
          <w:b/>
          <w:bCs/>
          <w:sz w:val="22"/>
          <w:szCs w:val="22"/>
        </w:rPr>
        <w:t xml:space="preserve">7. FİİL AYRICA GÜVENİ KÖTÜYE KULLANMA SUÇUNU OLUŞTURMAKTADIR (TCK m.155)</w:t>
      </w:r>
    </w:p>
    <w:p>
      <w:pPr>
        <w:spacing w:after="140" w:line="300"/>
        <w:jc w:val="both"/>
      </w:pPr>
      <w:r>
        <w:rPr>
          <w:rFonts w:ascii="Times New Roman" w:cs="Times New Roman" w:eastAsia="Times New Roman" w:hAnsi="Times New Roman"/>
          <w:sz w:val="22"/>
          <w:szCs w:val="22"/>
        </w:rPr>
        <w:t xml:space="preserve">TCK m.155/2’ye göre suçun; meslek ve sanat, ticaret veya hizmet ilişkisinin ya da hangi nedenden doğmuş olursa olsun başkasının mallarını idare etmek yetkisinin gereği olarak tevdi ve teslim edilmiş eşya hakkında işlenmesi hâlinde bir yıldan yedi yıla kadar hapis ve üç bin güne kadar adli para cezasına hükmolunur. Şüpheli, vekâlet ilişkisi gereği tahsil ettiği parayı devir amacı dışında elinde tutmuş ve tarafıma ödememiştir. Fiilin hangi hükme gireceğinin nitelendirmesi Sayın Başsavcılığınıza aittir.</w:t>
      </w:r>
    </w:p>
    <w:p>
      <w:pPr>
        <w:spacing w:after="100" w:before="260"/>
      </w:pPr>
      <w:r>
        <w:rPr>
          <w:rFonts w:ascii="Times New Roman" w:cs="Times New Roman" w:eastAsia="Times New Roman" w:hAnsi="Times New Roman"/>
          <w:b/>
          <w:bCs/>
          <w:sz w:val="22"/>
          <w:szCs w:val="22"/>
        </w:rPr>
        <w:t xml:space="preserve">8. DELİLLERİN TOPLANMASINI TALEP EDİYORUM (CMK m.160, m.161)</w:t>
      </w:r>
    </w:p>
    <w:p>
      <w:pPr>
        <w:spacing w:after="140" w:line="300"/>
        <w:jc w:val="both"/>
      </w:pPr>
      <w:r>
        <w:rPr>
          <w:rFonts w:ascii="Times New Roman" w:cs="Times New Roman" w:eastAsia="Times New Roman" w:hAnsi="Times New Roman"/>
          <w:sz w:val="22"/>
          <w:szCs w:val="22"/>
        </w:rPr>
        <w:t xml:space="preserve">Ceza Muhakemesi Kanunu m.160 uyarınca Cumhuriyet savcısı, maddi gerçeğin araştırılması için şüphelinin lehine ve aleyhine olan delilleri toplamakla yükümlüdür. Bu kapsamda; [ … ] İcra Müdürlüğünün …/… esas sayılı dosyasının tahsilat ve reddiyat kayıtlarıyla birlikte celbini, ödemenin yapıldığı banka hesabına ilişkin kayıtların ilgili bankadan istenmesini, şüphelinin kayıtlı olduğu barodan sicil ve levha kaydının sorulmasını talep ediyorum.</w:t>
      </w:r>
    </w:p>
    <w:p>
      <w:pPr>
        <w:spacing w:after="140" w:line="300"/>
        <w:jc w:val="both"/>
      </w:pPr>
      <w:r>
        <w:rPr>
          <w:rFonts w:ascii="Times New Roman" w:cs="Times New Roman" w:eastAsia="Times New Roman" w:hAnsi="Times New Roman"/>
          <w:sz w:val="22"/>
          <w:szCs w:val="22"/>
        </w:rPr>
        <w:t xml:space="preserve">HUKUKİ SEBEPLER: 1136 sayılı Avukatlık Kanunu m.34, m.35, m.39, m.58, m.62, m.164, m.166, m.171, m.174; 5237 sayılı Türk Ceza Kanunu m.73, m.155, m.257; 6098 sayılı Türk Borçlar Kanunu m.508, m.512; 5271 sayılı Ceza Muhakemesi Kanunu m.158, m.160, m.161 ve ilgili mevzuat.</w:t>
      </w:r>
    </w:p>
    <w:p>
      <w:pPr>
        <w:spacing w:after="140" w:line="300"/>
        <w:jc w:val="both"/>
      </w:pPr>
      <w:r>
        <w:rPr>
          <w:rFonts w:ascii="Times New Roman" w:cs="Times New Roman" w:eastAsia="Times New Roman" w:hAnsi="Times New Roman"/>
          <w:sz w:val="22"/>
          <w:szCs w:val="22"/>
        </w:rPr>
        <w:t xml:space="preserve">DELİLLER: Vekâletname örneği, avukatlık ücret sözleşmesi, icra dosyasının tahsilat ve reddiyat kayıtları ile reddiyat makbuzu, banka kayıtları ve dekontlar, noter ihtarnamesi ve tebliğ şerhi, yazışma ve mesaj kayıtları, baro sicil kaydı, tanık beyanları ve her türlü yasal delil.</w:t>
      </w:r>
    </w:p>
    <w:p>
      <w:pPr>
        <w:spacing w:after="120" w:line="300"/>
        <w:jc w:val="both"/>
      </w:pPr>
      <w:r>
        <w:rPr>
          <w:rFonts w:ascii="Times New Roman" w:cs="Times New Roman" w:eastAsia="Times New Roman" w:hAnsi="Times New Roman"/>
          <w:sz w:val="22"/>
          <w:szCs w:val="22"/>
        </w:rPr>
        <w:t xml:space="preserve">SONUÇ VE TALEP: Yukarıda açıklanan nedenlerle;</w:t>
      </w:r>
    </w:p>
    <w:p>
      <w:pPr>
        <w:spacing w:after="120" w:line="300"/>
        <w:jc w:val="both"/>
      </w:pPr>
      <w:r>
        <w:rPr>
          <w:rFonts w:ascii="Times New Roman" w:cs="Times New Roman" w:eastAsia="Times New Roman" w:hAnsi="Times New Roman"/>
          <w:sz w:val="22"/>
          <w:szCs w:val="22"/>
        </w:rPr>
        <w:t xml:space="preserve">1. Ön inceleme tamamlanarak dosyanın, 1136 sayılı Kanun m.58 uyarınca soruşturma izni istenmek üzere Adalet Bakanlığı Ceza İşleri Genel Müdürlüğüne gönderilmesine,</w:t>
      </w:r>
    </w:p>
    <w:p>
      <w:pPr>
        <w:spacing w:after="120" w:line="300"/>
        <w:jc w:val="both"/>
      </w:pPr>
      <w:r>
        <w:rPr>
          <w:rFonts w:ascii="Times New Roman" w:cs="Times New Roman" w:eastAsia="Times New Roman" w:hAnsi="Times New Roman"/>
          <w:sz w:val="22"/>
          <w:szCs w:val="22"/>
        </w:rPr>
        <w:t xml:space="preserve">2. Yukarıda belirtilen delillerin toplanmasına,</w:t>
      </w:r>
    </w:p>
    <w:p>
      <w:pPr>
        <w:spacing w:after="120" w:line="300"/>
        <w:jc w:val="both"/>
      </w:pPr>
      <w:r>
        <w:rPr>
          <w:rFonts w:ascii="Times New Roman" w:cs="Times New Roman" w:eastAsia="Times New Roman" w:hAnsi="Times New Roman"/>
          <w:sz w:val="22"/>
          <w:szCs w:val="22"/>
        </w:rPr>
        <w:t xml:space="preserve">3. İzin verilmesi hâlinde soruşturma yürütülerek şüpheli hakkında kamu davası açılması için gerekli işlemlerin yapılmasına,</w:t>
      </w:r>
    </w:p>
    <w:p>
      <w:pPr>
        <w:spacing w:after="120" w:line="300"/>
        <w:jc w:val="both"/>
      </w:pPr>
      <w:r>
        <w:rPr>
          <w:rFonts w:ascii="Times New Roman" w:cs="Times New Roman" w:eastAsia="Times New Roman" w:hAnsi="Times New Roman"/>
          <w:sz w:val="22"/>
          <w:szCs w:val="22"/>
        </w:rPr>
        <w:t xml:space="preserve">4. Kovuşturma aşamasında davaya katılma talebimin şimdiden değerlendirilmesine</w:t>
      </w:r>
    </w:p>
    <w:p>
      <w:pPr>
        <w:spacing w:after="120" w:line="300"/>
        <w:jc w:val="both"/>
      </w:pPr>
      <w:r>
        <w:rPr>
          <w:rFonts w:ascii="Times New Roman" w:cs="Times New Roman" w:eastAsia="Times New Roman" w:hAnsi="Times New Roman"/>
          <w:sz w:val="22"/>
          <w:szCs w:val="22"/>
        </w:rPr>
        <w:t xml:space="preserve">karar verilmesini saygılarımla arz ve talep ederim. [Tarih]</w:t>
      </w:r>
    </w:p>
    <w:p>
      <w:pPr>
        <w:spacing w:before="320"/>
        <w:jc w:val="right"/>
      </w:pPr>
      <w:r>
        <w:rPr>
          <w:rFonts w:ascii="Times New Roman" w:cs="Times New Roman" w:eastAsia="Times New Roman" w:hAnsi="Times New Roman"/>
          <w:sz w:val="22"/>
          <w:szCs w:val="22"/>
        </w:rPr>
        <w:t xml:space="preserve">Şikâyetçi [Vekili]</w:t>
      </w:r>
    </w:p>
    <w:p>
      <w:pPr>
        <w:spacing w:after="240"/>
        <w:jc w:val="right"/>
      </w:pPr>
      <w:r>
        <w:rPr>
          <w:rFonts w:ascii="Times New Roman" w:cs="Times New Roman" w:eastAsia="Times New Roman" w:hAnsi="Times New Roman"/>
          <w:sz w:val="22"/>
          <w:szCs w:val="22"/>
        </w:rPr>
        <w:t xml:space="preserve">[Ad Soyad] — İmza</w:t>
      </w:r>
    </w:p>
    <w:p>
      <w:pPr>
        <w:spacing w:after="80"/>
      </w:pPr>
      <w:r>
        <w:rPr>
          <w:rFonts w:ascii="Times New Roman" w:cs="Times New Roman" w:eastAsia="Times New Roman" w:hAnsi="Times New Roman"/>
          <w:b/>
          <w:bCs/>
          <w:sz w:val="22"/>
          <w:szCs w:val="22"/>
        </w:rPr>
        <w:t xml:space="preserve">EKLER:</w:t>
      </w:r>
    </w:p>
    <w:p>
      <w:pPr>
        <w:spacing w:after="80"/>
      </w:pPr>
      <w:r>
        <w:rPr>
          <w:rFonts w:ascii="Times New Roman" w:cs="Times New Roman" w:eastAsia="Times New Roman" w:hAnsi="Times New Roman"/>
          <w:b w:val="false"/>
          <w:bCs w:val="false"/>
          <w:sz w:val="22"/>
          <w:szCs w:val="22"/>
        </w:rPr>
        <w:t xml:space="preserve">Ek-1: Vekâletname örneği</w:t>
      </w:r>
    </w:p>
    <w:p>
      <w:pPr>
        <w:spacing w:after="80"/>
      </w:pPr>
      <w:r>
        <w:rPr>
          <w:rFonts w:ascii="Times New Roman" w:cs="Times New Roman" w:eastAsia="Times New Roman" w:hAnsi="Times New Roman"/>
          <w:b w:val="false"/>
          <w:bCs w:val="false"/>
          <w:sz w:val="22"/>
          <w:szCs w:val="22"/>
        </w:rPr>
        <w:t xml:space="preserve">Ek-2: Avukatlık ücret sözleşmesi (varsa)</w:t>
      </w:r>
    </w:p>
    <w:p>
      <w:pPr>
        <w:spacing w:after="80"/>
      </w:pPr>
      <w:r>
        <w:rPr>
          <w:rFonts w:ascii="Times New Roman" w:cs="Times New Roman" w:eastAsia="Times New Roman" w:hAnsi="Times New Roman"/>
          <w:b w:val="false"/>
          <w:bCs w:val="false"/>
          <w:sz w:val="22"/>
          <w:szCs w:val="22"/>
        </w:rPr>
        <w:t xml:space="preserve">Ek-3: İcra dosyası tahsilat ve reddiyat kayıtları</w:t>
      </w:r>
    </w:p>
    <w:p>
      <w:pPr>
        <w:spacing w:after="80"/>
      </w:pPr>
      <w:r>
        <w:rPr>
          <w:rFonts w:ascii="Times New Roman" w:cs="Times New Roman" w:eastAsia="Times New Roman" w:hAnsi="Times New Roman"/>
          <w:b w:val="false"/>
          <w:bCs w:val="false"/>
          <w:sz w:val="22"/>
          <w:szCs w:val="22"/>
        </w:rPr>
        <w:t xml:space="preserve">Ek-4: Noter ihtarnamesi ve tebliğ şerhi</w:t>
      </w:r>
    </w:p>
    <w:p>
      <w:pPr>
        <w:spacing w:after="80"/>
      </w:pPr>
      <w:r>
        <w:rPr>
          <w:rFonts w:ascii="Times New Roman" w:cs="Times New Roman" w:eastAsia="Times New Roman" w:hAnsi="Times New Roman"/>
          <w:b w:val="false"/>
          <w:bCs w:val="false"/>
          <w:sz w:val="22"/>
          <w:szCs w:val="22"/>
        </w:rPr>
        <w:t xml:space="preserve">Ek-5: Banka dekontları ve yazışma kayıtları</w:t>
      </w:r>
    </w:p>
    <w:p>
      <w:pPr>
        <w:pBdr>
          <w:top w:val="single" w:color="C9A227" w:sz="6" w:space="8"/>
        </w:pBdr>
        <w:spacing w:before="400"/>
      </w:pPr>
      <w:r>
        <w:rPr>
          <w:rFonts w:ascii="Times New Roman" w:cs="Times New Roman" w:eastAsia="Times New Roman" w:hAnsi="Times New Roman"/>
          <w:i/>
          <w:iCs/>
          <w:sz w:val="18"/>
          <w:szCs w:val="18"/>
        </w:rPr>
        <w:t xml:space="preserve">Bu şablon Hukukçular Evi Ankara tarafından hazırlanmıştır. Köşeli parantez içindeki alanlar doldurulmalı, dosyanıza uymayan hususlar çıkarılmalıdır. Bilgi ve danışma: 0554 648 37 15 — hukukcularevi.com</w:t>
      </w:r>
    </w:p>
    <w:sectPr>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2026-09-18T08:41:50.659Z</dcterms:created>
  <dcterms:modified xsi:type="dcterms:W3CDTF">2026-09-18T08:41:50.668Z</dcterms:modified>
</cp:coreProperties>
</file>

<file path=docProps/custom.xml><?xml version="1.0" encoding="utf-8"?>
<Properties xmlns="http://schemas.openxmlformats.org/officeDocument/2006/custom-properties" xmlns:vt="http://schemas.openxmlformats.org/officeDocument/2006/docPropsVTypes"/>
</file>